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F96" w:rsidRPr="00916755" w:rsidRDefault="00481F96" w:rsidP="00AD105A">
      <w:pPr>
        <w:jc w:val="center"/>
        <w:rPr>
          <w:rFonts w:ascii="Calibri" w:hAnsi="Calibri"/>
          <w:b/>
          <w:sz w:val="20"/>
          <w:szCs w:val="20"/>
        </w:rPr>
      </w:pPr>
      <w:r>
        <w:rPr>
          <w:rFonts w:ascii="Calibri" w:hAnsi="Calibri"/>
          <w:b/>
          <w:sz w:val="20"/>
          <w:szCs w:val="20"/>
        </w:rPr>
        <w:t xml:space="preserve">Capitolo 6. LE RISORSE PER </w:t>
      </w:r>
      <w:smartTag w:uri="urn:schemas-microsoft-com:office:smarttags" w:element="PersonName">
        <w:smartTagPr>
          <w:attr w:name="ProductID" w:val="LA BUONA SCUOLA"/>
        </w:smartTagPr>
        <w:r>
          <w:rPr>
            <w:rFonts w:ascii="Calibri" w:hAnsi="Calibri"/>
            <w:b/>
            <w:sz w:val="20"/>
            <w:szCs w:val="20"/>
          </w:rPr>
          <w:t>LA BUONA SCUOLA</w:t>
        </w:r>
      </w:smartTag>
      <w:r>
        <w:rPr>
          <w:rFonts w:ascii="Calibri" w:hAnsi="Calibri"/>
          <w:b/>
          <w:sz w:val="20"/>
          <w:szCs w:val="20"/>
        </w:rPr>
        <w:t>, PUBBLICHE E PRIVATE</w:t>
      </w:r>
    </w:p>
    <w:p w:rsidR="00481F96" w:rsidRDefault="00481F96" w:rsidP="00AD105A">
      <w:pPr>
        <w:jc w:val="center"/>
        <w:rPr>
          <w:rFonts w:ascii="Calibri" w:hAnsi="Calibri"/>
          <w:b/>
          <w:sz w:val="20"/>
          <w:szCs w:val="20"/>
        </w:rPr>
      </w:pPr>
      <w:r>
        <w:rPr>
          <w:rFonts w:ascii="Calibri" w:hAnsi="Calibri"/>
          <w:b/>
          <w:sz w:val="20"/>
          <w:szCs w:val="20"/>
        </w:rPr>
        <w:t xml:space="preserve">Antimo Ponticiello – Dirigente Ufficio II Risorse Finanziarie </w:t>
      </w:r>
    </w:p>
    <w:p w:rsidR="00481F96" w:rsidRPr="00916755" w:rsidRDefault="00481F96" w:rsidP="00F029B9">
      <w:pPr>
        <w:rPr>
          <w:rFonts w:ascii="Calibri" w:hAnsi="Calibri"/>
          <w:b/>
          <w:sz w:val="20"/>
          <w:szCs w:val="20"/>
        </w:rPr>
      </w:pPr>
      <w:r>
        <w:rPr>
          <w:rFonts w:ascii="Calibri" w:hAnsi="Calibri"/>
          <w:b/>
          <w:sz w:val="20"/>
          <w:szCs w:val="20"/>
        </w:rPr>
        <w:t xml:space="preserve">con la collaborazione dei </w:t>
      </w:r>
      <w:r w:rsidRPr="00916755">
        <w:rPr>
          <w:rFonts w:ascii="Calibri" w:hAnsi="Calibri"/>
          <w:b/>
          <w:sz w:val="20"/>
          <w:szCs w:val="20"/>
        </w:rPr>
        <w:t>DSGA P</w:t>
      </w:r>
      <w:r>
        <w:rPr>
          <w:rFonts w:ascii="Calibri" w:hAnsi="Calibri"/>
          <w:b/>
          <w:sz w:val="20"/>
          <w:szCs w:val="20"/>
        </w:rPr>
        <w:t xml:space="preserve">rovincia di </w:t>
      </w:r>
      <w:r w:rsidRPr="00916755">
        <w:rPr>
          <w:rFonts w:ascii="Calibri" w:hAnsi="Calibri"/>
          <w:b/>
          <w:sz w:val="20"/>
          <w:szCs w:val="20"/>
        </w:rPr>
        <w:t xml:space="preserve"> B</w:t>
      </w:r>
      <w:r>
        <w:rPr>
          <w:rFonts w:ascii="Calibri" w:hAnsi="Calibri"/>
          <w:b/>
          <w:sz w:val="20"/>
          <w:szCs w:val="20"/>
        </w:rPr>
        <w:t>ologna</w:t>
      </w:r>
      <w:r w:rsidRPr="00916755">
        <w:rPr>
          <w:rFonts w:ascii="Calibri" w:hAnsi="Calibri"/>
          <w:b/>
          <w:sz w:val="20"/>
          <w:szCs w:val="20"/>
        </w:rPr>
        <w:t xml:space="preserve"> LIDIA RUSSO, ABBRUZZESE ALBERTO, MARIA ROSARIA TOSIANI, GIANNA MAGNONI</w:t>
      </w:r>
    </w:p>
    <w:p w:rsidR="00481F96" w:rsidRPr="00916755" w:rsidRDefault="00481F96" w:rsidP="00460BB1">
      <w:pPr>
        <w:jc w:val="center"/>
        <w:rPr>
          <w:rFonts w:ascii="Calibri" w:hAnsi="Calibri"/>
          <w:b/>
          <w:sz w:val="20"/>
          <w:szCs w:val="20"/>
        </w:rPr>
      </w:pPr>
    </w:p>
    <w:tbl>
      <w:tblPr>
        <w:tblW w:w="0" w:type="auto"/>
        <w:tblInd w:w="-9" w:type="dxa"/>
        <w:tblLayout w:type="fixed"/>
        <w:tblCellMar>
          <w:left w:w="70" w:type="dxa"/>
          <w:right w:w="70" w:type="dxa"/>
        </w:tblCellMar>
        <w:tblLook w:val="0000"/>
      </w:tblPr>
      <w:tblGrid>
        <w:gridCol w:w="1213"/>
        <w:gridCol w:w="2977"/>
        <w:gridCol w:w="2835"/>
        <w:gridCol w:w="2835"/>
        <w:gridCol w:w="5425"/>
      </w:tblGrid>
      <w:tr w:rsidR="00481F96" w:rsidRPr="00B76178" w:rsidTr="00212900">
        <w:tc>
          <w:tcPr>
            <w:tcW w:w="1213" w:type="dxa"/>
            <w:tcBorders>
              <w:top w:val="single" w:sz="2" w:space="0" w:color="000000"/>
              <w:left w:val="single" w:sz="2" w:space="0" w:color="000000"/>
              <w:bottom w:val="single" w:sz="2" w:space="0" w:color="000000"/>
            </w:tcBorders>
          </w:tcPr>
          <w:p w:rsidR="00481F96" w:rsidRPr="00B76178" w:rsidRDefault="00481F96" w:rsidP="004A322F">
            <w:pPr>
              <w:snapToGrid w:val="0"/>
              <w:jc w:val="both"/>
              <w:rPr>
                <w:rFonts w:ascii="Calibri" w:hAnsi="Calibri"/>
                <w:i/>
                <w:iCs/>
                <w:sz w:val="20"/>
                <w:szCs w:val="20"/>
              </w:rPr>
            </w:pPr>
            <w:r w:rsidRPr="00B76178">
              <w:rPr>
                <w:rFonts w:ascii="Calibri" w:hAnsi="Calibri"/>
                <w:i/>
                <w:iCs/>
                <w:sz w:val="20"/>
                <w:szCs w:val="20"/>
              </w:rPr>
              <w:t>RIF. DOC.LE</w:t>
            </w:r>
          </w:p>
        </w:tc>
        <w:tc>
          <w:tcPr>
            <w:tcW w:w="2977" w:type="dxa"/>
            <w:tcBorders>
              <w:top w:val="single" w:sz="2" w:space="0" w:color="000000"/>
              <w:left w:val="single" w:sz="2" w:space="0" w:color="000000"/>
              <w:bottom w:val="single" w:sz="2" w:space="0" w:color="000000"/>
            </w:tcBorders>
          </w:tcPr>
          <w:p w:rsidR="00481F96" w:rsidRPr="00B76178" w:rsidRDefault="00481F96" w:rsidP="004A322F">
            <w:pPr>
              <w:snapToGrid w:val="0"/>
              <w:jc w:val="both"/>
              <w:rPr>
                <w:rFonts w:ascii="Calibri" w:hAnsi="Calibri"/>
                <w:i/>
                <w:iCs/>
                <w:sz w:val="20"/>
                <w:szCs w:val="20"/>
              </w:rPr>
            </w:pPr>
            <w:r w:rsidRPr="00B76178">
              <w:rPr>
                <w:rFonts w:ascii="Calibri" w:hAnsi="Calibri"/>
                <w:i/>
                <w:iCs/>
                <w:sz w:val="20"/>
                <w:szCs w:val="20"/>
              </w:rPr>
              <w:t>COSA HAI APPREZZATO</w:t>
            </w:r>
          </w:p>
        </w:tc>
        <w:tc>
          <w:tcPr>
            <w:tcW w:w="2835" w:type="dxa"/>
            <w:tcBorders>
              <w:top w:val="single" w:sz="2" w:space="0" w:color="000000"/>
              <w:left w:val="single" w:sz="2" w:space="0" w:color="000000"/>
              <w:bottom w:val="single" w:sz="2" w:space="0" w:color="000000"/>
            </w:tcBorders>
          </w:tcPr>
          <w:p w:rsidR="00481F96" w:rsidRPr="00B76178" w:rsidRDefault="00481F96" w:rsidP="004A322F">
            <w:pPr>
              <w:snapToGrid w:val="0"/>
              <w:jc w:val="both"/>
              <w:rPr>
                <w:rFonts w:ascii="Calibri" w:hAnsi="Calibri"/>
                <w:i/>
                <w:iCs/>
                <w:sz w:val="20"/>
                <w:szCs w:val="20"/>
              </w:rPr>
            </w:pPr>
            <w:r w:rsidRPr="00B76178">
              <w:rPr>
                <w:rFonts w:ascii="Calibri" w:hAnsi="Calibri"/>
                <w:i/>
                <w:iCs/>
                <w:sz w:val="20"/>
                <w:szCs w:val="20"/>
              </w:rPr>
              <w:t>PUNTI CRITICI</w:t>
            </w:r>
          </w:p>
        </w:tc>
        <w:tc>
          <w:tcPr>
            <w:tcW w:w="2835" w:type="dxa"/>
            <w:tcBorders>
              <w:top w:val="single" w:sz="2" w:space="0" w:color="000000"/>
              <w:left w:val="single" w:sz="2" w:space="0" w:color="000000"/>
              <w:bottom w:val="single" w:sz="2" w:space="0" w:color="000000"/>
              <w:right w:val="single" w:sz="2" w:space="0" w:color="000000"/>
            </w:tcBorders>
          </w:tcPr>
          <w:p w:rsidR="00481F96" w:rsidRPr="00B76178" w:rsidRDefault="00481F96" w:rsidP="004A322F">
            <w:pPr>
              <w:snapToGrid w:val="0"/>
              <w:jc w:val="both"/>
              <w:rPr>
                <w:rFonts w:ascii="Calibri" w:hAnsi="Calibri"/>
                <w:i/>
                <w:iCs/>
                <w:sz w:val="20"/>
                <w:szCs w:val="20"/>
              </w:rPr>
            </w:pPr>
            <w:r w:rsidRPr="00B76178">
              <w:rPr>
                <w:rFonts w:ascii="Calibri" w:hAnsi="Calibri"/>
                <w:i/>
                <w:iCs/>
                <w:sz w:val="20"/>
                <w:szCs w:val="20"/>
              </w:rPr>
              <w:t>COSA MANCA</w:t>
            </w:r>
          </w:p>
        </w:tc>
        <w:tc>
          <w:tcPr>
            <w:tcW w:w="5425" w:type="dxa"/>
            <w:tcBorders>
              <w:top w:val="single" w:sz="2" w:space="0" w:color="000000"/>
              <w:left w:val="single" w:sz="2" w:space="0" w:color="000000"/>
              <w:bottom w:val="single" w:sz="2" w:space="0" w:color="000000"/>
              <w:right w:val="single" w:sz="2" w:space="0" w:color="000000"/>
            </w:tcBorders>
          </w:tcPr>
          <w:p w:rsidR="00481F96" w:rsidRPr="00B76178" w:rsidRDefault="00481F96" w:rsidP="004A322F">
            <w:pPr>
              <w:snapToGrid w:val="0"/>
              <w:jc w:val="both"/>
              <w:rPr>
                <w:rFonts w:ascii="Calibri" w:hAnsi="Calibri"/>
                <w:i/>
                <w:iCs/>
                <w:sz w:val="20"/>
                <w:szCs w:val="20"/>
              </w:rPr>
            </w:pPr>
            <w:r w:rsidRPr="00B76178">
              <w:rPr>
                <w:rFonts w:ascii="Calibri" w:hAnsi="Calibri"/>
                <w:i/>
                <w:iCs/>
                <w:sz w:val="20"/>
                <w:szCs w:val="20"/>
              </w:rPr>
              <w:t>COSA SI PUO’ PROPORRE</w:t>
            </w:r>
          </w:p>
        </w:tc>
      </w:tr>
      <w:tr w:rsidR="00481F96" w:rsidRPr="00916755" w:rsidTr="00212900">
        <w:trPr>
          <w:trHeight w:val="1982"/>
        </w:trPr>
        <w:tc>
          <w:tcPr>
            <w:tcW w:w="1213" w:type="dxa"/>
            <w:tcBorders>
              <w:top w:val="single" w:sz="2" w:space="0" w:color="000000"/>
              <w:left w:val="single" w:sz="2" w:space="0" w:color="000000"/>
              <w:bottom w:val="single" w:sz="2" w:space="0" w:color="000000"/>
            </w:tcBorders>
          </w:tcPr>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p>
          <w:p w:rsidR="00481F96" w:rsidRDefault="00481F96" w:rsidP="00B76178">
            <w:pPr>
              <w:pStyle w:val="ListParagraph"/>
              <w:snapToGrid w:val="0"/>
              <w:ind w:left="9"/>
              <w:rPr>
                <w:rFonts w:ascii="Calibri" w:hAnsi="Calibri"/>
                <w:sz w:val="20"/>
                <w:szCs w:val="20"/>
              </w:rPr>
            </w:pPr>
            <w:r>
              <w:rPr>
                <w:rFonts w:ascii="Calibri" w:hAnsi="Calibri"/>
                <w:sz w:val="20"/>
                <w:szCs w:val="20"/>
              </w:rPr>
              <w:t>Stabilizzare e accrescere MOF (Budget triennale)</w:t>
            </w:r>
          </w:p>
        </w:tc>
        <w:tc>
          <w:tcPr>
            <w:tcW w:w="2977" w:type="dxa"/>
            <w:tcBorders>
              <w:top w:val="single" w:sz="2" w:space="0" w:color="000000"/>
              <w:left w:val="single" w:sz="2" w:space="0" w:color="000000"/>
              <w:bottom w:val="single" w:sz="2" w:space="0" w:color="000000"/>
            </w:tcBorders>
          </w:tcPr>
          <w:p w:rsidR="00481F96" w:rsidRDefault="00481F96" w:rsidP="00653CB5">
            <w:pPr>
              <w:pStyle w:val="ListParagraph"/>
              <w:numPr>
                <w:ilvl w:val="0"/>
                <w:numId w:val="10"/>
              </w:numPr>
              <w:snapToGrid w:val="0"/>
              <w:ind w:left="134" w:hanging="134"/>
              <w:jc w:val="both"/>
              <w:rPr>
                <w:rFonts w:ascii="Calibri" w:hAnsi="Calibri"/>
                <w:sz w:val="20"/>
                <w:szCs w:val="20"/>
              </w:rPr>
            </w:pPr>
            <w:r>
              <w:rPr>
                <w:rFonts w:ascii="Calibri" w:hAnsi="Calibri"/>
                <w:sz w:val="20"/>
                <w:szCs w:val="20"/>
              </w:rPr>
              <w:t>Risorse pubbliche più ing</w:t>
            </w:r>
            <w:r w:rsidRPr="00916755">
              <w:rPr>
                <w:rFonts w:ascii="Calibri" w:hAnsi="Calibri"/>
                <w:sz w:val="20"/>
                <w:szCs w:val="20"/>
              </w:rPr>
              <w:t>en</w:t>
            </w:r>
            <w:r>
              <w:rPr>
                <w:rFonts w:ascii="Calibri" w:hAnsi="Calibri"/>
                <w:sz w:val="20"/>
                <w:szCs w:val="20"/>
              </w:rPr>
              <w:t>t</w:t>
            </w:r>
            <w:r w:rsidRPr="00916755">
              <w:rPr>
                <w:rFonts w:ascii="Calibri" w:hAnsi="Calibri"/>
                <w:sz w:val="20"/>
                <w:szCs w:val="20"/>
              </w:rPr>
              <w:t>i e più certe - Invertire la tendenza degli ultimi anni, con la crescita dei fondi per il Miglioramento dell’Offerta Formativa</w:t>
            </w:r>
          </w:p>
          <w:p w:rsidR="00481F96" w:rsidRPr="00916755" w:rsidRDefault="00481F96" w:rsidP="00653CB5">
            <w:pPr>
              <w:pStyle w:val="ListParagraph"/>
              <w:numPr>
                <w:ilvl w:val="0"/>
                <w:numId w:val="10"/>
              </w:numPr>
              <w:snapToGrid w:val="0"/>
              <w:ind w:left="134" w:hanging="134"/>
              <w:jc w:val="both"/>
              <w:rPr>
                <w:rFonts w:ascii="Calibri" w:hAnsi="Calibri"/>
                <w:sz w:val="20"/>
                <w:szCs w:val="20"/>
              </w:rPr>
            </w:pPr>
            <w:r>
              <w:rPr>
                <w:rFonts w:ascii="Calibri" w:hAnsi="Calibri"/>
                <w:sz w:val="20"/>
                <w:szCs w:val="20"/>
              </w:rPr>
              <w:t>Budget triennale</w:t>
            </w:r>
          </w:p>
          <w:p w:rsidR="00481F96" w:rsidRPr="00916755" w:rsidRDefault="00481F96" w:rsidP="00653CB5">
            <w:pPr>
              <w:pStyle w:val="ListParagraph"/>
              <w:widowControl/>
              <w:numPr>
                <w:ilvl w:val="0"/>
                <w:numId w:val="10"/>
              </w:numPr>
              <w:suppressAutoHyphens w:val="0"/>
              <w:autoSpaceDE w:val="0"/>
              <w:autoSpaceDN w:val="0"/>
              <w:adjustRightInd w:val="0"/>
              <w:ind w:left="134" w:hanging="134"/>
              <w:jc w:val="both"/>
              <w:rPr>
                <w:rFonts w:ascii="Calibri" w:hAnsi="Calibri"/>
                <w:b/>
                <w:sz w:val="20"/>
                <w:szCs w:val="20"/>
              </w:rPr>
            </w:pPr>
            <w:r w:rsidRPr="00916755">
              <w:rPr>
                <w:rFonts w:ascii="Calibri" w:hAnsi="Calibri" w:cs="Sauna-Roman"/>
                <w:kern w:val="0"/>
                <w:sz w:val="20"/>
                <w:szCs w:val="20"/>
              </w:rPr>
              <w:t>Reintegro parziale del MOF  destinato a quegli istituti che sviluppano pratiche di potenziamento dell’offerta formativa di particolare impatto (di formazione, di autoproduzione di contenuti didattici, di progettualità) e trasferibili attraverso “modelli di rete”, partendo da indirizzi strategici periodicamente identificati, come ad esempio innovazione digitale, alternanza scuola-lavoro o multilinguismo</w:t>
            </w:r>
            <w:r w:rsidRPr="00916755">
              <w:rPr>
                <w:rFonts w:ascii="Calibri" w:hAnsi="Calibri"/>
                <w:sz w:val="20"/>
                <w:szCs w:val="20"/>
              </w:rPr>
              <w:t>.</w:t>
            </w:r>
          </w:p>
        </w:tc>
        <w:tc>
          <w:tcPr>
            <w:tcW w:w="2835" w:type="dxa"/>
            <w:tcBorders>
              <w:top w:val="single" w:sz="2" w:space="0" w:color="000000"/>
              <w:left w:val="single" w:sz="2" w:space="0" w:color="000000"/>
              <w:bottom w:val="single" w:sz="2" w:space="0" w:color="000000"/>
            </w:tcBorders>
          </w:tcPr>
          <w:p w:rsidR="00481F96" w:rsidRPr="00916755" w:rsidRDefault="00481F96" w:rsidP="004A322F">
            <w:pPr>
              <w:widowControl/>
              <w:suppressAutoHyphens w:val="0"/>
              <w:autoSpaceDE w:val="0"/>
              <w:autoSpaceDN w:val="0"/>
              <w:adjustRightInd w:val="0"/>
              <w:jc w:val="both"/>
              <w:rPr>
                <w:rFonts w:ascii="Calibri" w:hAnsi="Calibri"/>
                <w:sz w:val="20"/>
                <w:szCs w:val="20"/>
              </w:rPr>
            </w:pPr>
            <w:r w:rsidRPr="00916755">
              <w:rPr>
                <w:rFonts w:ascii="Calibri" w:hAnsi="Calibri" w:cs="Sauna-Bold"/>
                <w:b/>
                <w:bCs/>
                <w:kern w:val="0"/>
                <w:sz w:val="20"/>
                <w:szCs w:val="20"/>
              </w:rPr>
              <w:t xml:space="preserve">Il </w:t>
            </w:r>
            <w:r>
              <w:rPr>
                <w:rFonts w:ascii="Calibri" w:hAnsi="Calibri" w:cs="Sauna-Bold"/>
                <w:b/>
                <w:bCs/>
                <w:kern w:val="0"/>
                <w:sz w:val="20"/>
                <w:szCs w:val="20"/>
              </w:rPr>
              <w:t>documento</w:t>
            </w:r>
            <w:r w:rsidRPr="00916755">
              <w:rPr>
                <w:rFonts w:ascii="Calibri" w:hAnsi="Calibri" w:cs="Sauna-Bold"/>
                <w:b/>
                <w:bCs/>
                <w:kern w:val="0"/>
                <w:sz w:val="20"/>
                <w:szCs w:val="20"/>
              </w:rPr>
              <w:t xml:space="preserve"> propone strumenti diversi da quell</w:t>
            </w:r>
            <w:r>
              <w:rPr>
                <w:rFonts w:ascii="Calibri" w:hAnsi="Calibri" w:cs="Sauna-Bold"/>
                <w:b/>
                <w:bCs/>
                <w:kern w:val="0"/>
                <w:sz w:val="20"/>
                <w:szCs w:val="20"/>
              </w:rPr>
              <w:t>o</w:t>
            </w:r>
            <w:r w:rsidRPr="00916755">
              <w:rPr>
                <w:rFonts w:ascii="Calibri" w:hAnsi="Calibri" w:cs="Sauna-Bold"/>
                <w:b/>
                <w:bCs/>
                <w:kern w:val="0"/>
                <w:sz w:val="20"/>
                <w:szCs w:val="20"/>
              </w:rPr>
              <w:t xml:space="preserve"> </w:t>
            </w:r>
            <w:r w:rsidRPr="00916755">
              <w:rPr>
                <w:rFonts w:ascii="Calibri" w:hAnsi="Calibri" w:cs="Sauna-Roman"/>
                <w:kern w:val="0"/>
                <w:sz w:val="20"/>
                <w:szCs w:val="20"/>
              </w:rPr>
              <w:t>dimensionale (quantità di studenti e organico) per quantificare e allocare le risorse destinate alle scuole</w:t>
            </w:r>
            <w:r>
              <w:rPr>
                <w:rFonts w:ascii="Calibri" w:hAnsi="Calibri" w:cs="Sauna-Roman"/>
                <w:kern w:val="0"/>
                <w:sz w:val="20"/>
                <w:szCs w:val="20"/>
              </w:rPr>
              <w:t xml:space="preserve"> senza declinare ulteriori possibili “driver”</w:t>
            </w:r>
            <w:r w:rsidRPr="00916755">
              <w:rPr>
                <w:rFonts w:ascii="Calibri" w:hAnsi="Calibri" w:cs="Sauna-Roman"/>
                <w:kern w:val="0"/>
                <w:sz w:val="20"/>
                <w:szCs w:val="20"/>
              </w:rPr>
              <w:t>.</w:t>
            </w:r>
          </w:p>
          <w:p w:rsidR="00481F96" w:rsidRPr="00916755" w:rsidRDefault="00481F96" w:rsidP="00460BB1">
            <w:pPr>
              <w:widowControl/>
              <w:suppressAutoHyphens w:val="0"/>
              <w:autoSpaceDE w:val="0"/>
              <w:autoSpaceDN w:val="0"/>
              <w:adjustRightInd w:val="0"/>
              <w:jc w:val="both"/>
              <w:rPr>
                <w:rFonts w:ascii="Calibri" w:hAnsi="Calibri" w:cs="Sauna-Bold"/>
                <w:b/>
                <w:bCs/>
                <w:kern w:val="0"/>
                <w:sz w:val="20"/>
                <w:szCs w:val="20"/>
              </w:rPr>
            </w:pPr>
            <w:r w:rsidRPr="00916755">
              <w:rPr>
                <w:rFonts w:ascii="Calibri" w:hAnsi="Calibri" w:cs="Sauna-Roman"/>
                <w:kern w:val="0"/>
                <w:sz w:val="20"/>
                <w:szCs w:val="20"/>
              </w:rPr>
              <w:t xml:space="preserve">La stabilizzazione dovà infatti servire anche per </w:t>
            </w:r>
            <w:r w:rsidRPr="00916755">
              <w:rPr>
                <w:rFonts w:ascii="Calibri" w:hAnsi="Calibri" w:cs="Sauna-Bold"/>
                <w:b/>
                <w:bCs/>
                <w:kern w:val="0"/>
                <w:sz w:val="20"/>
                <w:szCs w:val="20"/>
              </w:rPr>
              <w:t xml:space="preserve">consentire alle scuole un’adeguata e tempestiva programmazione basata su un budget triennale molto apprezzato ma commisurato alle modalità </w:t>
            </w:r>
            <w:r w:rsidRPr="00916755">
              <w:rPr>
                <w:rFonts w:ascii="Calibri" w:hAnsi="Calibri"/>
                <w:sz w:val="20"/>
                <w:szCs w:val="20"/>
              </w:rPr>
              <w:t>di misurazione dei risultati conseguiti</w:t>
            </w:r>
            <w:r w:rsidRPr="00916755">
              <w:rPr>
                <w:rFonts w:ascii="Calibri" w:hAnsi="Calibri" w:cs="Sauna-Bold"/>
                <w:b/>
                <w:bCs/>
                <w:kern w:val="0"/>
                <w:sz w:val="20"/>
                <w:szCs w:val="20"/>
              </w:rPr>
              <w:t>.</w:t>
            </w:r>
          </w:p>
          <w:p w:rsidR="00481F96" w:rsidRPr="00916755" w:rsidRDefault="00481F96" w:rsidP="00460BB1">
            <w:pPr>
              <w:widowControl/>
              <w:suppressAutoHyphens w:val="0"/>
              <w:autoSpaceDE w:val="0"/>
              <w:autoSpaceDN w:val="0"/>
              <w:adjustRightInd w:val="0"/>
              <w:jc w:val="both"/>
              <w:rPr>
                <w:rFonts w:ascii="Calibri" w:hAnsi="Calibri" w:cs="Sauna-Bold"/>
                <w:b/>
                <w:bCs/>
                <w:kern w:val="0"/>
                <w:sz w:val="20"/>
                <w:szCs w:val="20"/>
              </w:rPr>
            </w:pPr>
            <w:r w:rsidRPr="00916755">
              <w:rPr>
                <w:rFonts w:ascii="Calibri" w:hAnsi="Calibri" w:cs="Sauna-Bold"/>
                <w:b/>
                <w:bCs/>
                <w:kern w:val="0"/>
                <w:sz w:val="20"/>
                <w:szCs w:val="20"/>
              </w:rPr>
              <w:t>I risultati conseguiti nel singolo anno potranno essere utilizzati per gli anni successivi nel triennio oppure i risultati verranno valutati solo al termine del triennio</w:t>
            </w:r>
            <w:r>
              <w:rPr>
                <w:rFonts w:ascii="Calibri" w:hAnsi="Calibri" w:cs="Sauna-Bold"/>
                <w:b/>
                <w:bCs/>
                <w:kern w:val="0"/>
                <w:sz w:val="20"/>
                <w:szCs w:val="20"/>
              </w:rPr>
              <w:t xml:space="preserve"> per i finanziamenti successivi? Manca il correttivo annuale</w:t>
            </w:r>
          </w:p>
          <w:p w:rsidR="00481F96" w:rsidRPr="00916755" w:rsidRDefault="00481F96" w:rsidP="00EC2232">
            <w:pPr>
              <w:snapToGrid w:val="0"/>
              <w:jc w:val="both"/>
              <w:rPr>
                <w:rFonts w:ascii="Calibri" w:hAnsi="Calibri"/>
                <w:sz w:val="20"/>
                <w:szCs w:val="20"/>
              </w:rPr>
            </w:pPr>
            <w:r w:rsidRPr="00916755">
              <w:rPr>
                <w:rFonts w:ascii="Calibri" w:hAnsi="Calibri"/>
                <w:sz w:val="20"/>
                <w:szCs w:val="20"/>
              </w:rPr>
              <w:t>E’ comunque necessario stabilire dei parametri per la quantificazione preventiva del MOF di tipo oggettivo ed alcuni di tipo premiale (ci si preoccupa di conoscere l’utilità effettivamente arrecata dall’esborso di denaro ai fini del raggiungimento del risultato).</w:t>
            </w:r>
          </w:p>
        </w:tc>
        <w:tc>
          <w:tcPr>
            <w:tcW w:w="2835" w:type="dxa"/>
            <w:tcBorders>
              <w:top w:val="single" w:sz="2" w:space="0" w:color="000000"/>
              <w:left w:val="single" w:sz="2" w:space="0" w:color="000000"/>
              <w:bottom w:val="single" w:sz="2" w:space="0" w:color="000000"/>
              <w:right w:val="single" w:sz="2" w:space="0" w:color="000000"/>
            </w:tcBorders>
          </w:tcPr>
          <w:p w:rsidR="00481F96" w:rsidRPr="002C0EBF" w:rsidRDefault="00481F96" w:rsidP="004A322F">
            <w:pPr>
              <w:snapToGrid w:val="0"/>
              <w:jc w:val="both"/>
              <w:rPr>
                <w:rStyle w:val="Emphasis"/>
                <w:rFonts w:ascii="Calibri" w:hAnsi="Calibri"/>
                <w:b/>
                <w:sz w:val="20"/>
                <w:szCs w:val="20"/>
              </w:rPr>
            </w:pPr>
            <w:r w:rsidRPr="002C0EBF">
              <w:rPr>
                <w:rStyle w:val="Emphasis"/>
                <w:rFonts w:ascii="Calibri" w:hAnsi="Calibri"/>
                <w:b/>
                <w:sz w:val="20"/>
                <w:szCs w:val="20"/>
              </w:rPr>
              <w:t>Chi valuterà i progetti?</w:t>
            </w:r>
          </w:p>
          <w:p w:rsidR="00481F96" w:rsidRPr="002C0EBF" w:rsidRDefault="00481F96" w:rsidP="004A322F">
            <w:pPr>
              <w:snapToGrid w:val="0"/>
              <w:jc w:val="both"/>
              <w:rPr>
                <w:rStyle w:val="Emphasis"/>
                <w:rFonts w:ascii="Calibri" w:hAnsi="Calibri"/>
                <w:b/>
                <w:sz w:val="20"/>
                <w:szCs w:val="20"/>
              </w:rPr>
            </w:pPr>
            <w:r w:rsidRPr="002C0EBF">
              <w:rPr>
                <w:rStyle w:val="Emphasis"/>
                <w:rFonts w:ascii="Calibri" w:hAnsi="Calibri"/>
                <w:b/>
                <w:sz w:val="20"/>
                <w:szCs w:val="20"/>
              </w:rPr>
              <w:t>Con quali strumenti di valutazione?</w:t>
            </w:r>
          </w:p>
          <w:p w:rsidR="00481F96" w:rsidRDefault="00481F96" w:rsidP="0062344C">
            <w:pPr>
              <w:snapToGrid w:val="0"/>
              <w:jc w:val="both"/>
              <w:rPr>
                <w:rStyle w:val="Emphasis"/>
                <w:rFonts w:ascii="Calibri" w:hAnsi="Calibri"/>
                <w:sz w:val="20"/>
                <w:szCs w:val="20"/>
              </w:rPr>
            </w:pPr>
            <w:r w:rsidRPr="00916755">
              <w:rPr>
                <w:rStyle w:val="Emphasis"/>
                <w:rFonts w:ascii="Calibri" w:hAnsi="Calibri"/>
                <w:sz w:val="20"/>
                <w:szCs w:val="20"/>
              </w:rPr>
              <w:t>Legare i finanziamenti statali alla sola valutazione degli istituti</w:t>
            </w:r>
            <w:r>
              <w:rPr>
                <w:rStyle w:val="Emphasis"/>
                <w:rFonts w:ascii="Calibri" w:hAnsi="Calibri"/>
                <w:sz w:val="20"/>
                <w:szCs w:val="20"/>
              </w:rPr>
              <w:t xml:space="preserve"> non terrebbe conto di particolari elementi di contesto:</w:t>
            </w:r>
          </w:p>
          <w:p w:rsidR="00481F96" w:rsidRPr="0062344C" w:rsidRDefault="00481F96" w:rsidP="0008182F">
            <w:pPr>
              <w:pStyle w:val="ListParagraph"/>
              <w:numPr>
                <w:ilvl w:val="0"/>
                <w:numId w:val="8"/>
              </w:numPr>
              <w:snapToGrid w:val="0"/>
              <w:ind w:left="283" w:hanging="141"/>
              <w:jc w:val="both"/>
              <w:rPr>
                <w:rStyle w:val="Strong"/>
                <w:rFonts w:ascii="Calibri" w:hAnsi="Calibri"/>
                <w:b w:val="0"/>
                <w:bCs w:val="0"/>
                <w:sz w:val="20"/>
                <w:szCs w:val="20"/>
              </w:rPr>
            </w:pPr>
            <w:r w:rsidRPr="0062344C">
              <w:rPr>
                <w:rStyle w:val="Strong"/>
                <w:rFonts w:ascii="Calibri" w:hAnsi="Calibri"/>
                <w:i/>
                <w:iCs/>
                <w:sz w:val="20"/>
                <w:szCs w:val="20"/>
              </w:rPr>
              <w:t>Elevato numero di alunni per classe;</w:t>
            </w:r>
          </w:p>
          <w:p w:rsidR="00481F96" w:rsidRPr="00916755" w:rsidRDefault="00481F96" w:rsidP="0008182F">
            <w:pPr>
              <w:pStyle w:val="ListParagraph"/>
              <w:numPr>
                <w:ilvl w:val="0"/>
                <w:numId w:val="8"/>
              </w:numPr>
              <w:snapToGrid w:val="0"/>
              <w:ind w:left="283" w:hanging="141"/>
              <w:jc w:val="both"/>
              <w:rPr>
                <w:rStyle w:val="Strong"/>
                <w:rFonts w:ascii="Calibri" w:hAnsi="Calibri"/>
                <w:b w:val="0"/>
                <w:bCs w:val="0"/>
                <w:sz w:val="20"/>
                <w:szCs w:val="20"/>
              </w:rPr>
            </w:pPr>
            <w:r w:rsidRPr="00916755">
              <w:rPr>
                <w:rStyle w:val="Strong"/>
                <w:rFonts w:ascii="Calibri" w:hAnsi="Calibri"/>
                <w:i/>
                <w:iCs/>
                <w:sz w:val="20"/>
                <w:szCs w:val="20"/>
              </w:rPr>
              <w:t>Presenza di molti alunni stranieri;</w:t>
            </w:r>
          </w:p>
          <w:p w:rsidR="00481F96" w:rsidRPr="00916755" w:rsidRDefault="00481F96" w:rsidP="0008182F">
            <w:pPr>
              <w:pStyle w:val="ListParagraph"/>
              <w:numPr>
                <w:ilvl w:val="0"/>
                <w:numId w:val="8"/>
              </w:numPr>
              <w:snapToGrid w:val="0"/>
              <w:ind w:left="283" w:hanging="141"/>
              <w:jc w:val="both"/>
              <w:rPr>
                <w:rStyle w:val="Emphasis"/>
                <w:rFonts w:ascii="Calibri" w:hAnsi="Calibri"/>
                <w:i w:val="0"/>
                <w:iCs w:val="0"/>
                <w:sz w:val="20"/>
                <w:szCs w:val="20"/>
              </w:rPr>
            </w:pPr>
            <w:r w:rsidRPr="00916755">
              <w:rPr>
                <w:rStyle w:val="Strong"/>
                <w:rFonts w:ascii="Calibri" w:hAnsi="Calibri"/>
                <w:i/>
                <w:iCs/>
                <w:sz w:val="20"/>
                <w:szCs w:val="20"/>
              </w:rPr>
              <w:t>livello culturale depresso o un tessuto economico limitato</w:t>
            </w:r>
            <w:r w:rsidRPr="00916755">
              <w:rPr>
                <w:rStyle w:val="Emphasis"/>
                <w:rFonts w:ascii="Calibri" w:hAnsi="Calibri"/>
                <w:sz w:val="20"/>
                <w:szCs w:val="20"/>
              </w:rPr>
              <w:t xml:space="preserve">. </w:t>
            </w:r>
          </w:p>
          <w:p w:rsidR="00481F96" w:rsidRPr="002C0EBF" w:rsidRDefault="00481F96" w:rsidP="002C0EBF">
            <w:pPr>
              <w:widowControl/>
              <w:suppressAutoHyphens w:val="0"/>
              <w:autoSpaceDE w:val="0"/>
              <w:autoSpaceDN w:val="0"/>
              <w:adjustRightInd w:val="0"/>
              <w:jc w:val="both"/>
              <w:rPr>
                <w:rFonts w:ascii="Calibri" w:hAnsi="Calibri"/>
                <w:sz w:val="20"/>
                <w:szCs w:val="20"/>
              </w:rPr>
            </w:pPr>
          </w:p>
        </w:tc>
        <w:tc>
          <w:tcPr>
            <w:tcW w:w="5425" w:type="dxa"/>
            <w:tcBorders>
              <w:top w:val="single" w:sz="2" w:space="0" w:color="000000"/>
              <w:left w:val="single" w:sz="2" w:space="0" w:color="000000"/>
              <w:bottom w:val="single" w:sz="2" w:space="0" w:color="000000"/>
              <w:right w:val="single" w:sz="2" w:space="0" w:color="000000"/>
            </w:tcBorders>
          </w:tcPr>
          <w:p w:rsidR="00481F96" w:rsidRPr="00916755" w:rsidRDefault="00481F96" w:rsidP="004A322F">
            <w:pPr>
              <w:jc w:val="both"/>
              <w:rPr>
                <w:rFonts w:ascii="Calibri" w:hAnsi="Calibri"/>
                <w:sz w:val="20"/>
                <w:szCs w:val="20"/>
              </w:rPr>
            </w:pPr>
            <w:r w:rsidRPr="00916755">
              <w:rPr>
                <w:rStyle w:val="Strong"/>
                <w:rFonts w:ascii="Calibri" w:hAnsi="Calibri"/>
                <w:i/>
                <w:iCs/>
                <w:sz w:val="20"/>
                <w:szCs w:val="20"/>
              </w:rPr>
              <w:t>L’assegna</w:t>
            </w:r>
            <w:r w:rsidRPr="00916755">
              <w:rPr>
                <w:rStyle w:val="Strong"/>
                <w:rFonts w:ascii="Calibri" w:hAnsi="Calibri"/>
                <w:b w:val="0"/>
                <w:i/>
                <w:iCs/>
                <w:sz w:val="20"/>
                <w:szCs w:val="20"/>
              </w:rPr>
              <w:t>zione dei fondi</w:t>
            </w:r>
            <w:r w:rsidRPr="00916755">
              <w:rPr>
                <w:rStyle w:val="Emphasis"/>
                <w:rFonts w:ascii="Calibri" w:hAnsi="Calibri"/>
                <w:b/>
                <w:sz w:val="20"/>
                <w:szCs w:val="20"/>
              </w:rPr>
              <w:t>, noti all’inizio del TRIENNIO,</w:t>
            </w:r>
            <w:r w:rsidRPr="00916755">
              <w:rPr>
                <w:rStyle w:val="Emphasis"/>
                <w:rFonts w:ascii="Calibri" w:hAnsi="Calibri"/>
                <w:sz w:val="20"/>
                <w:szCs w:val="20"/>
              </w:rPr>
              <w:t xml:space="preserve"> oltre che degli organici, </w:t>
            </w:r>
            <w:r w:rsidRPr="00916755">
              <w:rPr>
                <w:rStyle w:val="Strong"/>
                <w:rFonts w:ascii="Calibri" w:hAnsi="Calibri"/>
                <w:i/>
                <w:iCs/>
                <w:sz w:val="20"/>
                <w:szCs w:val="20"/>
              </w:rPr>
              <w:t>dovrebbe invece avvenire</w:t>
            </w:r>
            <w:r w:rsidRPr="00916755">
              <w:rPr>
                <w:rStyle w:val="Emphasis"/>
                <w:rFonts w:ascii="Calibri" w:hAnsi="Calibri"/>
                <w:sz w:val="20"/>
                <w:szCs w:val="20"/>
              </w:rPr>
              <w:t xml:space="preserve">, oltre che sulla base degli attuali parametri nazionali, </w:t>
            </w:r>
            <w:r w:rsidRPr="00916755">
              <w:rPr>
                <w:rStyle w:val="Strong"/>
                <w:rFonts w:ascii="Calibri" w:hAnsi="Calibri"/>
                <w:i/>
                <w:iCs/>
                <w:sz w:val="20"/>
                <w:szCs w:val="20"/>
              </w:rPr>
              <w:t>andando ad esaminare le esigenze del territorio</w:t>
            </w:r>
            <w:r>
              <w:rPr>
                <w:rStyle w:val="Strong"/>
                <w:rFonts w:ascii="Calibri" w:hAnsi="Calibri"/>
                <w:i/>
                <w:iCs/>
                <w:sz w:val="20"/>
                <w:szCs w:val="20"/>
              </w:rPr>
              <w:t>: c</w:t>
            </w:r>
            <w:r w:rsidRPr="00916755">
              <w:rPr>
                <w:rStyle w:val="Emphasis"/>
                <w:rFonts w:ascii="Calibri" w:hAnsi="Calibri"/>
                <w:sz w:val="20"/>
                <w:szCs w:val="20"/>
              </w:rPr>
              <w:t>ome i livelli di disoccupazione, di dispersione scolastica, la presenza di alloglotti e di flussi migratori</w:t>
            </w:r>
            <w:r w:rsidRPr="00916755">
              <w:rPr>
                <w:rFonts w:ascii="Calibri" w:hAnsi="Calibri"/>
                <w:sz w:val="20"/>
                <w:szCs w:val="20"/>
              </w:rPr>
              <w:t xml:space="preserve">”. </w:t>
            </w:r>
          </w:p>
          <w:p w:rsidR="00481F96" w:rsidRPr="00916755" w:rsidRDefault="00481F96" w:rsidP="005C0E2F">
            <w:pPr>
              <w:snapToGrid w:val="0"/>
              <w:jc w:val="both"/>
              <w:rPr>
                <w:rFonts w:ascii="Calibri" w:hAnsi="Calibri"/>
                <w:sz w:val="20"/>
                <w:szCs w:val="20"/>
              </w:rPr>
            </w:pPr>
            <w:r w:rsidRPr="00916755">
              <w:rPr>
                <w:rFonts w:ascii="Calibri" w:hAnsi="Calibri"/>
                <w:sz w:val="20"/>
                <w:szCs w:val="20"/>
              </w:rPr>
              <w:t xml:space="preserve">Visto che TUTTE le Istituzioni scolastiche con il FIS devono comunque retribuire dei </w:t>
            </w:r>
            <w:r w:rsidRPr="002C0EBF">
              <w:rPr>
                <w:rFonts w:ascii="Calibri" w:hAnsi="Calibri"/>
                <w:b/>
                <w:sz w:val="20"/>
                <w:szCs w:val="20"/>
              </w:rPr>
              <w:t>compensi fissi</w:t>
            </w:r>
            <w:r w:rsidRPr="00916755">
              <w:rPr>
                <w:rFonts w:ascii="Calibri" w:hAnsi="Calibri"/>
                <w:sz w:val="20"/>
                <w:szCs w:val="20"/>
              </w:rPr>
              <w:t xml:space="preserve"> (quali ad esempio l’indennità di direzione al DSGA e suo sostituto, collaboratori del dirigente, ecc.), la nostra proposta è quella di parametrare le risorse come segue:</w:t>
            </w:r>
          </w:p>
          <w:p w:rsidR="00481F96" w:rsidRDefault="00481F96" w:rsidP="005C0E2F">
            <w:pPr>
              <w:snapToGrid w:val="0"/>
              <w:jc w:val="both"/>
              <w:rPr>
                <w:rFonts w:ascii="Calibri" w:hAnsi="Calibri"/>
                <w:b/>
                <w:sz w:val="20"/>
                <w:szCs w:val="20"/>
              </w:rPr>
            </w:pPr>
            <w:r>
              <w:rPr>
                <w:rFonts w:ascii="Calibri" w:hAnsi="Calibri"/>
                <w:b/>
                <w:sz w:val="20"/>
                <w:szCs w:val="20"/>
              </w:rPr>
              <w:t>quota base per tutte le scuole</w:t>
            </w:r>
          </w:p>
          <w:p w:rsidR="00481F96" w:rsidRPr="00916755" w:rsidRDefault="00481F96" w:rsidP="005C0E2F">
            <w:pPr>
              <w:snapToGrid w:val="0"/>
              <w:jc w:val="both"/>
              <w:rPr>
                <w:rFonts w:ascii="Calibri" w:hAnsi="Calibri"/>
                <w:sz w:val="20"/>
                <w:szCs w:val="20"/>
              </w:rPr>
            </w:pPr>
            <w:r w:rsidRPr="00916755">
              <w:rPr>
                <w:rFonts w:ascii="Calibri" w:hAnsi="Calibri"/>
                <w:b/>
                <w:sz w:val="20"/>
                <w:szCs w:val="20"/>
              </w:rPr>
              <w:t>70%</w:t>
            </w:r>
            <w:r>
              <w:rPr>
                <w:rFonts w:ascii="Calibri" w:hAnsi="Calibri"/>
                <w:b/>
                <w:sz w:val="20"/>
                <w:szCs w:val="20"/>
              </w:rPr>
              <w:t xml:space="preserve"> (o percentuale diversa)</w:t>
            </w:r>
            <w:r w:rsidRPr="00916755">
              <w:rPr>
                <w:rFonts w:ascii="Calibri" w:hAnsi="Calibri"/>
                <w:b/>
                <w:sz w:val="20"/>
                <w:szCs w:val="20"/>
              </w:rPr>
              <w:t xml:space="preserve"> </w:t>
            </w:r>
            <w:r w:rsidRPr="00916755">
              <w:rPr>
                <w:rFonts w:ascii="Calibri" w:hAnsi="Calibri"/>
                <w:sz w:val="20"/>
                <w:szCs w:val="20"/>
              </w:rPr>
              <w:t>determinato in base a parametri oggettivi non solo dimensionali ma anche da altri fattori quali:</w:t>
            </w:r>
          </w:p>
          <w:p w:rsidR="00481F96" w:rsidRPr="00653CB5" w:rsidRDefault="00481F96" w:rsidP="005C0E2F">
            <w:pPr>
              <w:pStyle w:val="ListParagraph"/>
              <w:numPr>
                <w:ilvl w:val="0"/>
                <w:numId w:val="3"/>
              </w:numPr>
              <w:snapToGrid w:val="0"/>
              <w:jc w:val="both"/>
              <w:rPr>
                <w:rFonts w:ascii="Calibri" w:hAnsi="Calibri"/>
                <w:sz w:val="18"/>
                <w:szCs w:val="18"/>
              </w:rPr>
            </w:pPr>
            <w:r w:rsidRPr="00653CB5">
              <w:rPr>
                <w:rFonts w:ascii="Calibri" w:hAnsi="Calibri"/>
                <w:sz w:val="18"/>
                <w:szCs w:val="18"/>
              </w:rPr>
              <w:t>Numero di sedi;</w:t>
            </w:r>
          </w:p>
          <w:p w:rsidR="00481F96" w:rsidRPr="00653CB5" w:rsidRDefault="00481F96" w:rsidP="005C0E2F">
            <w:pPr>
              <w:pStyle w:val="ListParagraph"/>
              <w:numPr>
                <w:ilvl w:val="0"/>
                <w:numId w:val="3"/>
              </w:numPr>
              <w:snapToGrid w:val="0"/>
              <w:jc w:val="both"/>
              <w:rPr>
                <w:rFonts w:ascii="Calibri" w:hAnsi="Calibri"/>
                <w:sz w:val="18"/>
                <w:szCs w:val="18"/>
              </w:rPr>
            </w:pPr>
            <w:r w:rsidRPr="00653CB5">
              <w:rPr>
                <w:rFonts w:ascii="Calibri" w:hAnsi="Calibri"/>
                <w:sz w:val="18"/>
                <w:szCs w:val="18"/>
              </w:rPr>
              <w:t>Numero docenti e Ata;</w:t>
            </w:r>
          </w:p>
          <w:p w:rsidR="00481F96" w:rsidRPr="00653CB5" w:rsidRDefault="00481F96" w:rsidP="005C0E2F">
            <w:pPr>
              <w:pStyle w:val="ListParagraph"/>
              <w:numPr>
                <w:ilvl w:val="0"/>
                <w:numId w:val="3"/>
              </w:numPr>
              <w:snapToGrid w:val="0"/>
              <w:jc w:val="both"/>
              <w:rPr>
                <w:rFonts w:ascii="Calibri" w:hAnsi="Calibri"/>
                <w:sz w:val="18"/>
                <w:szCs w:val="18"/>
              </w:rPr>
            </w:pPr>
            <w:r w:rsidRPr="00653CB5">
              <w:rPr>
                <w:rFonts w:ascii="Calibri" w:hAnsi="Calibri"/>
                <w:sz w:val="18"/>
                <w:szCs w:val="18"/>
              </w:rPr>
              <w:t>Numero alunni H;</w:t>
            </w:r>
          </w:p>
          <w:p w:rsidR="00481F96" w:rsidRPr="00653CB5" w:rsidRDefault="00481F96" w:rsidP="005C0E2F">
            <w:pPr>
              <w:pStyle w:val="ListParagraph"/>
              <w:numPr>
                <w:ilvl w:val="0"/>
                <w:numId w:val="3"/>
              </w:numPr>
              <w:snapToGrid w:val="0"/>
              <w:jc w:val="both"/>
              <w:rPr>
                <w:rFonts w:ascii="Calibri" w:hAnsi="Calibri"/>
                <w:sz w:val="18"/>
                <w:szCs w:val="18"/>
              </w:rPr>
            </w:pPr>
            <w:r w:rsidRPr="00653CB5">
              <w:rPr>
                <w:rFonts w:ascii="Calibri" w:hAnsi="Calibri"/>
                <w:sz w:val="18"/>
                <w:szCs w:val="18"/>
              </w:rPr>
              <w:t>Numero alunni stranieri;</w:t>
            </w:r>
          </w:p>
          <w:p w:rsidR="00481F96" w:rsidRPr="00653CB5" w:rsidRDefault="00481F96" w:rsidP="005C0E2F">
            <w:pPr>
              <w:pStyle w:val="ListParagraph"/>
              <w:numPr>
                <w:ilvl w:val="0"/>
                <w:numId w:val="3"/>
              </w:numPr>
              <w:snapToGrid w:val="0"/>
              <w:jc w:val="both"/>
              <w:rPr>
                <w:rFonts w:ascii="Calibri" w:hAnsi="Calibri"/>
                <w:sz w:val="18"/>
                <w:szCs w:val="18"/>
              </w:rPr>
            </w:pPr>
            <w:r w:rsidRPr="00653CB5">
              <w:rPr>
                <w:rFonts w:ascii="Calibri" w:hAnsi="Calibri"/>
                <w:sz w:val="18"/>
                <w:szCs w:val="18"/>
              </w:rPr>
              <w:t>Collocazione geografica</w:t>
            </w:r>
          </w:p>
          <w:p w:rsidR="00481F96" w:rsidRPr="00653CB5" w:rsidRDefault="00481F96" w:rsidP="003F7913">
            <w:pPr>
              <w:pStyle w:val="ListParagraph"/>
              <w:numPr>
                <w:ilvl w:val="0"/>
                <w:numId w:val="3"/>
              </w:numPr>
              <w:snapToGrid w:val="0"/>
              <w:jc w:val="both"/>
              <w:rPr>
                <w:rFonts w:ascii="Calibri" w:hAnsi="Calibri"/>
                <w:sz w:val="18"/>
                <w:szCs w:val="18"/>
              </w:rPr>
            </w:pPr>
            <w:r w:rsidRPr="00653CB5">
              <w:rPr>
                <w:rFonts w:ascii="Calibri" w:hAnsi="Calibri"/>
                <w:sz w:val="18"/>
                <w:szCs w:val="18"/>
              </w:rPr>
              <w:t>Ecc.</w:t>
            </w:r>
          </w:p>
          <w:p w:rsidR="00481F96" w:rsidRDefault="00481F96" w:rsidP="004A322F">
            <w:pPr>
              <w:jc w:val="both"/>
              <w:rPr>
                <w:rFonts w:ascii="Calibri" w:hAnsi="Calibri"/>
                <w:b/>
                <w:sz w:val="20"/>
                <w:szCs w:val="20"/>
              </w:rPr>
            </w:pPr>
            <w:r>
              <w:rPr>
                <w:rFonts w:ascii="Calibri" w:hAnsi="Calibri"/>
                <w:b/>
                <w:sz w:val="20"/>
                <w:szCs w:val="20"/>
              </w:rPr>
              <w:t>Quota percentuale</w:t>
            </w:r>
          </w:p>
          <w:p w:rsidR="00481F96" w:rsidRPr="00916755" w:rsidRDefault="00481F96" w:rsidP="004A322F">
            <w:pPr>
              <w:jc w:val="both"/>
              <w:rPr>
                <w:rFonts w:ascii="Calibri" w:hAnsi="Calibri"/>
                <w:sz w:val="20"/>
                <w:szCs w:val="20"/>
              </w:rPr>
            </w:pPr>
            <w:r w:rsidRPr="00916755">
              <w:rPr>
                <w:rFonts w:ascii="Calibri" w:hAnsi="Calibri"/>
                <w:b/>
                <w:sz w:val="20"/>
                <w:szCs w:val="20"/>
              </w:rPr>
              <w:t>30%</w:t>
            </w:r>
            <w:r w:rsidRPr="00916755">
              <w:rPr>
                <w:rFonts w:ascii="Calibri" w:hAnsi="Calibri"/>
                <w:sz w:val="20"/>
                <w:szCs w:val="20"/>
              </w:rPr>
              <w:t xml:space="preserve"> dei finanziamenti legati agli obiettivi del progetto (utilità dei progetti presentati rispetto alle problematiche in atto in quel contesto territoriale) ed ai </w:t>
            </w:r>
            <w:r>
              <w:rPr>
                <w:rFonts w:ascii="Calibri" w:hAnsi="Calibri"/>
                <w:sz w:val="20"/>
                <w:szCs w:val="20"/>
              </w:rPr>
              <w:t>r</w:t>
            </w:r>
            <w:r w:rsidRPr="00916755">
              <w:rPr>
                <w:rFonts w:ascii="Calibri" w:hAnsi="Calibri"/>
                <w:sz w:val="20"/>
                <w:szCs w:val="20"/>
              </w:rPr>
              <w:t>isultati conseguiti.</w:t>
            </w:r>
          </w:p>
          <w:p w:rsidR="00481F96" w:rsidRPr="00916755" w:rsidRDefault="00481F96" w:rsidP="004A322F">
            <w:pPr>
              <w:jc w:val="both"/>
              <w:rPr>
                <w:rFonts w:ascii="Calibri" w:hAnsi="Calibri"/>
                <w:sz w:val="20"/>
                <w:szCs w:val="20"/>
              </w:rPr>
            </w:pPr>
            <w:r w:rsidRPr="002C0EBF">
              <w:rPr>
                <w:rFonts w:ascii="Calibri" w:hAnsi="Calibri"/>
                <w:b/>
                <w:sz w:val="20"/>
                <w:szCs w:val="20"/>
              </w:rPr>
              <w:t>Parametri oggettivi</w:t>
            </w:r>
            <w:r w:rsidRPr="00916755">
              <w:rPr>
                <w:rFonts w:ascii="Calibri" w:hAnsi="Calibri"/>
                <w:sz w:val="20"/>
                <w:szCs w:val="20"/>
              </w:rPr>
              <w:t xml:space="preserve"> di valutazione quali per fare alcuni esempi:</w:t>
            </w:r>
          </w:p>
          <w:p w:rsidR="00481F96" w:rsidRPr="00916755" w:rsidRDefault="00481F96" w:rsidP="00653CB5">
            <w:pPr>
              <w:pStyle w:val="ListParagraph"/>
              <w:numPr>
                <w:ilvl w:val="0"/>
                <w:numId w:val="3"/>
              </w:numPr>
              <w:ind w:left="297" w:hanging="272"/>
              <w:jc w:val="both"/>
              <w:rPr>
                <w:rFonts w:ascii="Calibri" w:hAnsi="Calibri"/>
                <w:sz w:val="20"/>
                <w:szCs w:val="20"/>
              </w:rPr>
            </w:pPr>
            <w:r w:rsidRPr="00916755">
              <w:rPr>
                <w:rFonts w:ascii="Calibri" w:hAnsi="Calibri"/>
                <w:sz w:val="20"/>
                <w:szCs w:val="20"/>
              </w:rPr>
              <w:t>Utilità sociale del progetto;</w:t>
            </w:r>
          </w:p>
          <w:p w:rsidR="00481F96" w:rsidRPr="00916755" w:rsidRDefault="00481F96" w:rsidP="00653CB5">
            <w:pPr>
              <w:pStyle w:val="ListParagraph"/>
              <w:numPr>
                <w:ilvl w:val="0"/>
                <w:numId w:val="3"/>
              </w:numPr>
              <w:ind w:left="297" w:hanging="272"/>
              <w:jc w:val="both"/>
              <w:rPr>
                <w:rFonts w:ascii="Calibri" w:hAnsi="Calibri"/>
                <w:sz w:val="20"/>
                <w:szCs w:val="20"/>
              </w:rPr>
            </w:pPr>
            <w:r w:rsidRPr="00916755">
              <w:rPr>
                <w:rFonts w:ascii="Calibri" w:hAnsi="Calibri"/>
                <w:sz w:val="20"/>
                <w:szCs w:val="20"/>
              </w:rPr>
              <w:t>Costo pro capite del progetto;</w:t>
            </w:r>
          </w:p>
          <w:p w:rsidR="00481F96" w:rsidRPr="00916755" w:rsidRDefault="00481F96" w:rsidP="00653CB5">
            <w:pPr>
              <w:pStyle w:val="ListParagraph"/>
              <w:numPr>
                <w:ilvl w:val="0"/>
                <w:numId w:val="3"/>
              </w:numPr>
              <w:ind w:left="297" w:hanging="272"/>
              <w:jc w:val="both"/>
              <w:rPr>
                <w:rFonts w:ascii="Calibri" w:hAnsi="Calibri"/>
                <w:sz w:val="20"/>
                <w:szCs w:val="20"/>
              </w:rPr>
            </w:pPr>
            <w:r w:rsidRPr="00916755">
              <w:rPr>
                <w:rFonts w:ascii="Calibri" w:hAnsi="Calibri"/>
                <w:sz w:val="20"/>
                <w:szCs w:val="20"/>
              </w:rPr>
              <w:t>Attività rivolta a numero alunni, frequentata invece da n. alunni;</w:t>
            </w:r>
          </w:p>
          <w:p w:rsidR="00481F96" w:rsidRPr="00916755" w:rsidRDefault="00481F96" w:rsidP="00653CB5">
            <w:pPr>
              <w:pStyle w:val="ListParagraph"/>
              <w:numPr>
                <w:ilvl w:val="0"/>
                <w:numId w:val="3"/>
              </w:numPr>
              <w:ind w:left="297" w:hanging="272"/>
              <w:jc w:val="both"/>
              <w:rPr>
                <w:rFonts w:ascii="Calibri" w:hAnsi="Calibri"/>
                <w:sz w:val="20"/>
                <w:szCs w:val="20"/>
              </w:rPr>
            </w:pPr>
            <w:r w:rsidRPr="00916755">
              <w:rPr>
                <w:rFonts w:ascii="Calibri" w:hAnsi="Calibri"/>
                <w:sz w:val="20"/>
                <w:szCs w:val="20"/>
              </w:rPr>
              <w:t>Risultati conseguiti in termini di:</w:t>
            </w:r>
          </w:p>
          <w:p w:rsidR="00481F96" w:rsidRPr="00653CB5" w:rsidRDefault="00481F96" w:rsidP="00653CB5">
            <w:pPr>
              <w:pStyle w:val="ListParagraph"/>
              <w:numPr>
                <w:ilvl w:val="1"/>
                <w:numId w:val="3"/>
              </w:numPr>
              <w:ind w:left="297" w:hanging="272"/>
              <w:jc w:val="both"/>
              <w:rPr>
                <w:rFonts w:ascii="Calibri" w:hAnsi="Calibri"/>
                <w:sz w:val="18"/>
                <w:szCs w:val="18"/>
              </w:rPr>
            </w:pPr>
            <w:r w:rsidRPr="00653CB5">
              <w:rPr>
                <w:rFonts w:ascii="Calibri" w:hAnsi="Calibri"/>
                <w:sz w:val="18"/>
                <w:szCs w:val="18"/>
              </w:rPr>
              <w:t>Successo scolastico;</w:t>
            </w:r>
          </w:p>
          <w:p w:rsidR="00481F96" w:rsidRPr="00653CB5" w:rsidRDefault="00481F96" w:rsidP="00653CB5">
            <w:pPr>
              <w:pStyle w:val="ListParagraph"/>
              <w:numPr>
                <w:ilvl w:val="1"/>
                <w:numId w:val="3"/>
              </w:numPr>
              <w:ind w:left="297" w:hanging="272"/>
              <w:jc w:val="both"/>
              <w:rPr>
                <w:rFonts w:ascii="Calibri" w:hAnsi="Calibri"/>
                <w:sz w:val="18"/>
                <w:szCs w:val="18"/>
              </w:rPr>
            </w:pPr>
            <w:r w:rsidRPr="00653CB5">
              <w:rPr>
                <w:rFonts w:ascii="Calibri" w:hAnsi="Calibri"/>
                <w:sz w:val="18"/>
                <w:szCs w:val="18"/>
              </w:rPr>
              <w:t>Abbandono scolastico;</w:t>
            </w:r>
          </w:p>
          <w:p w:rsidR="00481F96" w:rsidRPr="00653CB5" w:rsidRDefault="00481F96" w:rsidP="00653CB5">
            <w:pPr>
              <w:pStyle w:val="ListParagraph"/>
              <w:numPr>
                <w:ilvl w:val="1"/>
                <w:numId w:val="3"/>
              </w:numPr>
              <w:ind w:left="297" w:hanging="272"/>
              <w:jc w:val="both"/>
              <w:rPr>
                <w:rFonts w:ascii="Calibri" w:hAnsi="Calibri"/>
                <w:sz w:val="18"/>
                <w:szCs w:val="18"/>
              </w:rPr>
            </w:pPr>
            <w:r w:rsidRPr="00653CB5">
              <w:rPr>
                <w:rFonts w:ascii="Calibri" w:hAnsi="Calibri"/>
                <w:sz w:val="18"/>
                <w:szCs w:val="18"/>
              </w:rPr>
              <w:t>Ecc.</w:t>
            </w:r>
          </w:p>
          <w:p w:rsidR="00481F96" w:rsidRPr="002C0EBF" w:rsidRDefault="00481F96" w:rsidP="00653CB5">
            <w:pPr>
              <w:pStyle w:val="ListParagraph"/>
              <w:numPr>
                <w:ilvl w:val="1"/>
                <w:numId w:val="3"/>
              </w:numPr>
              <w:ind w:left="297" w:hanging="272"/>
              <w:jc w:val="both"/>
              <w:rPr>
                <w:rFonts w:ascii="Calibri" w:hAnsi="Calibri" w:cs="Sauna-Roman"/>
                <w:kern w:val="0"/>
                <w:sz w:val="20"/>
                <w:szCs w:val="20"/>
              </w:rPr>
            </w:pPr>
            <w:r w:rsidRPr="00653CB5">
              <w:rPr>
                <w:rFonts w:ascii="Calibri" w:hAnsi="Calibri"/>
                <w:sz w:val="18"/>
                <w:szCs w:val="18"/>
              </w:rPr>
              <w:t>Capacità di feedback della scuola sulla nuova programmazione didattica.</w:t>
            </w:r>
          </w:p>
        </w:tc>
      </w:tr>
      <w:tr w:rsidR="00481F96" w:rsidRPr="00B76178" w:rsidTr="00212900">
        <w:tc>
          <w:tcPr>
            <w:tcW w:w="1213"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RIF. DOC.LE</w:t>
            </w:r>
          </w:p>
        </w:tc>
        <w:tc>
          <w:tcPr>
            <w:tcW w:w="2977"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HAI APPREZZATO</w:t>
            </w:r>
          </w:p>
        </w:tc>
        <w:tc>
          <w:tcPr>
            <w:tcW w:w="2835"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PUNTI CRITICI</w:t>
            </w:r>
          </w:p>
        </w:tc>
        <w:tc>
          <w:tcPr>
            <w:tcW w:w="2835" w:type="dxa"/>
            <w:tcBorders>
              <w:top w:val="single" w:sz="2" w:space="0" w:color="000000"/>
              <w:left w:val="single" w:sz="2" w:space="0" w:color="000000"/>
              <w:bottom w:val="single" w:sz="2" w:space="0" w:color="000000"/>
              <w:right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MANCA</w:t>
            </w:r>
          </w:p>
        </w:tc>
        <w:tc>
          <w:tcPr>
            <w:tcW w:w="5425" w:type="dxa"/>
            <w:tcBorders>
              <w:top w:val="single" w:sz="2" w:space="0" w:color="000000"/>
              <w:left w:val="single" w:sz="2" w:space="0" w:color="000000"/>
              <w:bottom w:val="single" w:sz="2" w:space="0" w:color="000000"/>
              <w:right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SI PUO’ PROPORRE</w:t>
            </w:r>
          </w:p>
        </w:tc>
      </w:tr>
      <w:tr w:rsidR="00481F96" w:rsidRPr="00916755" w:rsidTr="002D7311">
        <w:tc>
          <w:tcPr>
            <w:tcW w:w="1213" w:type="dxa"/>
            <w:vMerge w:val="restart"/>
            <w:tcBorders>
              <w:top w:val="single" w:sz="2" w:space="0" w:color="000000"/>
              <w:left w:val="single" w:sz="2" w:space="0" w:color="000000"/>
            </w:tcBorders>
          </w:tcPr>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Default="00481F96" w:rsidP="003F7913">
            <w:pPr>
              <w:snapToGrid w:val="0"/>
              <w:jc w:val="both"/>
              <w:rPr>
                <w:rFonts w:ascii="Calibri" w:hAnsi="Calibri"/>
                <w:sz w:val="20"/>
                <w:szCs w:val="20"/>
              </w:rPr>
            </w:pPr>
          </w:p>
          <w:p w:rsidR="00481F96" w:rsidRPr="00916755" w:rsidRDefault="00481F96" w:rsidP="003F7913">
            <w:pPr>
              <w:snapToGrid w:val="0"/>
              <w:jc w:val="both"/>
              <w:rPr>
                <w:rFonts w:ascii="Calibri" w:hAnsi="Calibri"/>
                <w:sz w:val="20"/>
                <w:szCs w:val="20"/>
              </w:rPr>
            </w:pPr>
            <w:r>
              <w:rPr>
                <w:rFonts w:ascii="Calibri" w:hAnsi="Calibri"/>
                <w:sz w:val="20"/>
                <w:szCs w:val="20"/>
              </w:rPr>
              <w:t>Allocare in maniera trasparente e premiale (Bilancio Partecipato)</w:t>
            </w:r>
          </w:p>
        </w:tc>
        <w:tc>
          <w:tcPr>
            <w:tcW w:w="2977" w:type="dxa"/>
            <w:tcBorders>
              <w:top w:val="single" w:sz="2" w:space="0" w:color="000000"/>
              <w:left w:val="single" w:sz="2" w:space="0" w:color="000000"/>
              <w:bottom w:val="single" w:sz="2" w:space="0" w:color="000000"/>
            </w:tcBorders>
          </w:tcPr>
          <w:p w:rsidR="00481F96" w:rsidRPr="00916755" w:rsidRDefault="00481F96" w:rsidP="003F7913">
            <w:pPr>
              <w:snapToGrid w:val="0"/>
              <w:jc w:val="both"/>
              <w:rPr>
                <w:rFonts w:ascii="Calibri" w:hAnsi="Calibri" w:cs="Sauna-Roman"/>
                <w:kern w:val="0"/>
                <w:sz w:val="20"/>
                <w:szCs w:val="20"/>
              </w:rPr>
            </w:pPr>
            <w:r w:rsidRPr="00916755">
              <w:rPr>
                <w:rFonts w:ascii="Calibri" w:hAnsi="Calibri"/>
                <w:sz w:val="20"/>
                <w:szCs w:val="20"/>
              </w:rPr>
              <w:t xml:space="preserve">Modalità di spesa e di finanziamento pubbliche - </w:t>
            </w:r>
            <w:r w:rsidRPr="00916755">
              <w:rPr>
                <w:rFonts w:ascii="Calibri" w:hAnsi="Calibri" w:cs="Sauna-Bold"/>
                <w:b/>
                <w:bCs/>
                <w:kern w:val="0"/>
                <w:sz w:val="20"/>
                <w:szCs w:val="20"/>
              </w:rPr>
              <w:t>la modalità previste ne “</w:t>
            </w:r>
            <w:smartTag w:uri="urn:schemas-microsoft-com:office:smarttags" w:element="PersonName">
              <w:smartTagPr>
                <w:attr w:name="ProductID" w:val="LA BUONA SCUOLA"/>
              </w:smartTagPr>
              <w:r w:rsidRPr="00916755">
                <w:rPr>
                  <w:rFonts w:ascii="Calibri" w:hAnsi="Calibri" w:cs="Sauna-Bold"/>
                  <w:b/>
                  <w:bCs/>
                  <w:kern w:val="0"/>
                  <w:sz w:val="20"/>
                  <w:szCs w:val="20"/>
                </w:rPr>
                <w:t>La Buona Scuola</w:t>
              </w:r>
            </w:smartTag>
            <w:r w:rsidRPr="00916755">
              <w:rPr>
                <w:rFonts w:ascii="Calibri" w:hAnsi="Calibri" w:cs="Sauna-Bold"/>
                <w:b/>
                <w:bCs/>
                <w:kern w:val="0"/>
                <w:sz w:val="20"/>
                <w:szCs w:val="20"/>
              </w:rPr>
              <w:t>” sono quelle del bilancio</w:t>
            </w:r>
            <w:r>
              <w:rPr>
                <w:rFonts w:ascii="Calibri" w:hAnsi="Calibri" w:cs="Sauna-Bold"/>
                <w:b/>
                <w:bCs/>
                <w:kern w:val="0"/>
                <w:sz w:val="20"/>
                <w:szCs w:val="20"/>
              </w:rPr>
              <w:t xml:space="preserve"> </w:t>
            </w:r>
            <w:r w:rsidRPr="00916755">
              <w:rPr>
                <w:rFonts w:ascii="Calibri" w:hAnsi="Calibri" w:cs="Sauna-Bold"/>
                <w:b/>
                <w:bCs/>
                <w:kern w:val="0"/>
                <w:sz w:val="20"/>
                <w:szCs w:val="20"/>
              </w:rPr>
              <w:t>partecipato, coinvolgendo studenti e rappresentanti dei genitori</w:t>
            </w:r>
            <w:r w:rsidRPr="00916755">
              <w:rPr>
                <w:rFonts w:ascii="Calibri" w:hAnsi="Calibri" w:cs="Sauna-Roman"/>
                <w:kern w:val="0"/>
                <w:sz w:val="20"/>
                <w:szCs w:val="20"/>
              </w:rPr>
              <w:t>, per obiettivi didattici coerenti con le finalità strategiche del Piano di miglioramento.</w:t>
            </w:r>
          </w:p>
          <w:p w:rsidR="00481F96" w:rsidRPr="00916755" w:rsidRDefault="00481F96" w:rsidP="004A322F">
            <w:pPr>
              <w:snapToGrid w:val="0"/>
              <w:jc w:val="both"/>
              <w:rPr>
                <w:rFonts w:ascii="Calibri" w:hAnsi="Calibri"/>
                <w:sz w:val="20"/>
                <w:szCs w:val="20"/>
              </w:rPr>
            </w:pPr>
          </w:p>
        </w:tc>
        <w:tc>
          <w:tcPr>
            <w:tcW w:w="2835" w:type="dxa"/>
            <w:tcBorders>
              <w:top w:val="single" w:sz="2" w:space="0" w:color="000000"/>
              <w:left w:val="single" w:sz="2" w:space="0" w:color="000000"/>
              <w:bottom w:val="single" w:sz="2" w:space="0" w:color="000000"/>
            </w:tcBorders>
          </w:tcPr>
          <w:p w:rsidR="00481F96" w:rsidRPr="00916755" w:rsidRDefault="00481F96" w:rsidP="004A322F">
            <w:pPr>
              <w:widowControl/>
              <w:suppressAutoHyphens w:val="0"/>
              <w:autoSpaceDE w:val="0"/>
              <w:autoSpaceDN w:val="0"/>
              <w:adjustRightInd w:val="0"/>
              <w:jc w:val="both"/>
              <w:rPr>
                <w:rFonts w:ascii="Calibri" w:hAnsi="Calibri" w:cs="Sauna-Roman"/>
                <w:kern w:val="0"/>
                <w:sz w:val="20"/>
                <w:szCs w:val="20"/>
              </w:rPr>
            </w:pPr>
            <w:r w:rsidRPr="00916755">
              <w:rPr>
                <w:rFonts w:ascii="Calibri" w:hAnsi="Calibri"/>
                <w:sz w:val="20"/>
                <w:szCs w:val="20"/>
              </w:rPr>
              <w:t xml:space="preserve">Pubblicizzare le attività attraverso </w:t>
            </w:r>
            <w:r w:rsidRPr="00916755">
              <w:rPr>
                <w:rFonts w:ascii="Calibri" w:hAnsi="Calibri" w:cs="Sauna-Bold"/>
                <w:b/>
                <w:bCs/>
                <w:kern w:val="0"/>
                <w:sz w:val="20"/>
                <w:szCs w:val="20"/>
              </w:rPr>
              <w:t xml:space="preserve">Scuola in chiaro 2.0 </w:t>
            </w:r>
            <w:r w:rsidRPr="00916755">
              <w:rPr>
                <w:rFonts w:ascii="Calibri" w:hAnsi="Calibri" w:cs="Sauna-Roman"/>
                <w:kern w:val="0"/>
                <w:sz w:val="20"/>
                <w:szCs w:val="20"/>
              </w:rPr>
              <w:t>sarà la vetrina delle scuole per dare evidenza all’uso dei fondi del MOF, e diventerà lo strumento per il MIUR (e il sistema scolastico intero) per monitorare e comprendere meglio il modo in cui questi fondi sono utilizzati ma non può essere l’unico elemento, si rischia in questo modo di penalizzare gli istituti comprensivi che non hanno tecnici, informatici, ecc..</w:t>
            </w:r>
          </w:p>
          <w:p w:rsidR="00481F96" w:rsidRPr="00916755" w:rsidRDefault="00481F96" w:rsidP="0045405D">
            <w:pPr>
              <w:snapToGrid w:val="0"/>
              <w:jc w:val="both"/>
              <w:rPr>
                <w:rFonts w:ascii="Calibri" w:hAnsi="Calibri"/>
                <w:sz w:val="20"/>
                <w:szCs w:val="20"/>
              </w:rPr>
            </w:pPr>
            <w:r w:rsidRPr="00916755">
              <w:rPr>
                <w:rFonts w:ascii="Calibri" w:hAnsi="Calibri"/>
                <w:sz w:val="20"/>
                <w:szCs w:val="20"/>
              </w:rPr>
              <w:t xml:space="preserve">Scuola in Chiaro deve diventare uno </w:t>
            </w:r>
            <w:r w:rsidRPr="002C0EBF">
              <w:rPr>
                <w:rFonts w:ascii="Calibri" w:hAnsi="Calibri"/>
                <w:b/>
                <w:sz w:val="20"/>
                <w:szCs w:val="20"/>
              </w:rPr>
              <w:t>strumento di gestione semplice ed ordinario</w:t>
            </w:r>
            <w:r w:rsidRPr="00916755">
              <w:rPr>
                <w:rFonts w:ascii="Calibri" w:hAnsi="Calibri"/>
                <w:sz w:val="20"/>
                <w:szCs w:val="20"/>
              </w:rPr>
              <w:t xml:space="preserve"> non un ulteriore adempimento per DS, DSGA, personale Ata.</w:t>
            </w:r>
          </w:p>
          <w:p w:rsidR="00481F96" w:rsidRPr="00916755" w:rsidRDefault="00481F96" w:rsidP="0045405D">
            <w:pPr>
              <w:snapToGrid w:val="0"/>
              <w:jc w:val="both"/>
              <w:rPr>
                <w:rFonts w:ascii="Calibri" w:hAnsi="Calibri"/>
                <w:sz w:val="20"/>
                <w:szCs w:val="20"/>
              </w:rPr>
            </w:pPr>
          </w:p>
        </w:tc>
        <w:tc>
          <w:tcPr>
            <w:tcW w:w="2835" w:type="dxa"/>
            <w:tcBorders>
              <w:top w:val="single" w:sz="2" w:space="0" w:color="000000"/>
              <w:left w:val="single" w:sz="2" w:space="0" w:color="000000"/>
              <w:bottom w:val="single" w:sz="2" w:space="0" w:color="000000"/>
              <w:right w:val="single" w:sz="2" w:space="0" w:color="000000"/>
            </w:tcBorders>
          </w:tcPr>
          <w:p w:rsidR="00481F96" w:rsidRPr="00EC2232" w:rsidRDefault="00481F96" w:rsidP="0045405D">
            <w:pPr>
              <w:widowControl/>
              <w:suppressAutoHyphens w:val="0"/>
              <w:autoSpaceDE w:val="0"/>
              <w:autoSpaceDN w:val="0"/>
              <w:adjustRightInd w:val="0"/>
              <w:jc w:val="both"/>
              <w:rPr>
                <w:rFonts w:ascii="Calibri" w:hAnsi="Calibri"/>
                <w:sz w:val="18"/>
                <w:szCs w:val="18"/>
              </w:rPr>
            </w:pPr>
            <w:r w:rsidRPr="00EC2232">
              <w:rPr>
                <w:rFonts w:ascii="Calibri" w:hAnsi="Calibri"/>
                <w:sz w:val="18"/>
                <w:szCs w:val="18"/>
              </w:rPr>
              <w:t>Mancano specifici riferimenti ad altri tipi di finanziamenti ad esempio:</w:t>
            </w:r>
          </w:p>
          <w:p w:rsidR="00481F96" w:rsidRPr="00EC2232" w:rsidRDefault="00481F96" w:rsidP="00944577">
            <w:pPr>
              <w:pStyle w:val="ListParagraph"/>
              <w:widowControl/>
              <w:numPr>
                <w:ilvl w:val="0"/>
                <w:numId w:val="11"/>
              </w:numPr>
              <w:suppressAutoHyphens w:val="0"/>
              <w:autoSpaceDE w:val="0"/>
              <w:autoSpaceDN w:val="0"/>
              <w:adjustRightInd w:val="0"/>
              <w:ind w:left="280" w:hanging="281"/>
              <w:jc w:val="both"/>
              <w:rPr>
                <w:rFonts w:ascii="Calibri" w:hAnsi="Calibri"/>
                <w:sz w:val="18"/>
                <w:szCs w:val="18"/>
              </w:rPr>
            </w:pPr>
            <w:r w:rsidRPr="00EC2232">
              <w:rPr>
                <w:rFonts w:ascii="Calibri" w:hAnsi="Calibri"/>
                <w:sz w:val="18"/>
                <w:szCs w:val="18"/>
              </w:rPr>
              <w:t>rifinanziamento della ex legge 440/97 sull’ampliamento Dell’offerta formativa;</w:t>
            </w:r>
          </w:p>
          <w:p w:rsidR="00481F96" w:rsidRPr="00EC2232" w:rsidRDefault="00481F96" w:rsidP="00944577">
            <w:pPr>
              <w:pStyle w:val="ListParagraph"/>
              <w:widowControl/>
              <w:numPr>
                <w:ilvl w:val="0"/>
                <w:numId w:val="11"/>
              </w:numPr>
              <w:suppressAutoHyphens w:val="0"/>
              <w:autoSpaceDE w:val="0"/>
              <w:autoSpaceDN w:val="0"/>
              <w:adjustRightInd w:val="0"/>
              <w:ind w:left="280" w:hanging="281"/>
              <w:jc w:val="both"/>
              <w:rPr>
                <w:rFonts w:ascii="Calibri" w:hAnsi="Calibri"/>
                <w:sz w:val="18"/>
                <w:szCs w:val="18"/>
              </w:rPr>
            </w:pPr>
            <w:r w:rsidRPr="00EC2232">
              <w:rPr>
                <w:rFonts w:ascii="Calibri" w:hAnsi="Calibri"/>
                <w:sz w:val="18"/>
                <w:szCs w:val="18"/>
              </w:rPr>
              <w:t>apposite risorse per spese in conto capitale (finanziamenti assenti da anni), da assegnare sulle basi di specifici e qualificati progetti per investimenti riguardanti laboratori, attrezzature, sussidi e soprattutto soluzioni tecnologiche integrate per la scuola digitale;</w:t>
            </w:r>
          </w:p>
          <w:p w:rsidR="00481F96" w:rsidRPr="00653CB5" w:rsidRDefault="00481F96" w:rsidP="00653CB5">
            <w:pPr>
              <w:pStyle w:val="ListParagraph"/>
              <w:widowControl/>
              <w:numPr>
                <w:ilvl w:val="0"/>
                <w:numId w:val="11"/>
              </w:numPr>
              <w:suppressAutoHyphens w:val="0"/>
              <w:autoSpaceDE w:val="0"/>
              <w:autoSpaceDN w:val="0"/>
              <w:adjustRightInd w:val="0"/>
              <w:ind w:left="280" w:hanging="281"/>
              <w:jc w:val="both"/>
              <w:rPr>
                <w:rFonts w:ascii="Calibri" w:hAnsi="Calibri"/>
                <w:sz w:val="20"/>
                <w:szCs w:val="20"/>
              </w:rPr>
            </w:pPr>
            <w:r w:rsidRPr="00EC2232">
              <w:rPr>
                <w:rFonts w:ascii="Calibri" w:hAnsi="Calibri"/>
                <w:sz w:val="18"/>
                <w:szCs w:val="18"/>
              </w:rPr>
              <w:t>Coordinamento tra Stato e Enti Locali per risorse destinate al diritto allo studio, in particolare l’assegnazione MIUR dovrebbe essere sussidiaria rispetto a quanto erogato dagli EE.LL.</w:t>
            </w:r>
          </w:p>
        </w:tc>
        <w:tc>
          <w:tcPr>
            <w:tcW w:w="5425" w:type="dxa"/>
            <w:tcBorders>
              <w:top w:val="single" w:sz="2" w:space="0" w:color="000000"/>
              <w:left w:val="single" w:sz="2" w:space="0" w:color="000000"/>
              <w:bottom w:val="single" w:sz="2" w:space="0" w:color="000000"/>
              <w:right w:val="single" w:sz="2" w:space="0" w:color="000000"/>
            </w:tcBorders>
          </w:tcPr>
          <w:p w:rsidR="00481F96" w:rsidRPr="00653CB5" w:rsidRDefault="00481F96" w:rsidP="00EC02D4">
            <w:pPr>
              <w:pStyle w:val="ListParagraph"/>
              <w:numPr>
                <w:ilvl w:val="0"/>
                <w:numId w:val="11"/>
              </w:numPr>
              <w:snapToGrid w:val="0"/>
              <w:ind w:left="307" w:hanging="284"/>
              <w:jc w:val="both"/>
              <w:rPr>
                <w:rFonts w:ascii="Calibri" w:hAnsi="Calibri" w:cs="HelveticaNeueLT Std"/>
                <w:sz w:val="20"/>
                <w:szCs w:val="20"/>
              </w:rPr>
            </w:pPr>
            <w:r w:rsidRPr="00653CB5">
              <w:rPr>
                <w:rFonts w:ascii="Calibri" w:hAnsi="Calibri"/>
                <w:sz w:val="20"/>
                <w:szCs w:val="20"/>
              </w:rPr>
              <w:t xml:space="preserve">L’attuazione di un </w:t>
            </w:r>
            <w:r w:rsidRPr="00653CB5">
              <w:rPr>
                <w:rFonts w:ascii="Calibri" w:hAnsi="Calibri"/>
                <w:b/>
                <w:sz w:val="20"/>
                <w:szCs w:val="20"/>
              </w:rPr>
              <w:t>controllo di gestione</w:t>
            </w:r>
            <w:r w:rsidRPr="00653CB5">
              <w:rPr>
                <w:rFonts w:ascii="Calibri" w:hAnsi="Calibri"/>
                <w:sz w:val="20"/>
                <w:szCs w:val="20"/>
              </w:rPr>
              <w:t xml:space="preserve"> pur previsto dall’art. 4 del D.Lgs. 286/1999 mai attuata nella scuola potrebbe trovare ne “la buona scuola” un punto di partenza per una</w:t>
            </w:r>
            <w:r w:rsidRPr="00653CB5">
              <w:rPr>
                <w:rFonts w:ascii="Calibri" w:hAnsi="Calibri" w:cs="HelveticaNeueLT Std"/>
                <w:sz w:val="20"/>
                <w:szCs w:val="20"/>
              </w:rPr>
              <w:t xml:space="preserve"> autovalutazione delle performance di ogni scuola, costruiti sulla base di format e indicatori comuni, e i relativi piani di miglioramento.</w:t>
            </w:r>
          </w:p>
          <w:p w:rsidR="00481F96" w:rsidRPr="00653CB5" w:rsidRDefault="00481F96" w:rsidP="00EC02D4">
            <w:pPr>
              <w:pStyle w:val="ListParagraph"/>
              <w:widowControl/>
              <w:numPr>
                <w:ilvl w:val="0"/>
                <w:numId w:val="11"/>
              </w:numPr>
              <w:suppressAutoHyphens w:val="0"/>
              <w:ind w:left="307" w:hanging="284"/>
              <w:jc w:val="both"/>
              <w:rPr>
                <w:rFonts w:ascii="Calibri" w:hAnsi="Calibri"/>
                <w:sz w:val="20"/>
                <w:szCs w:val="20"/>
              </w:rPr>
            </w:pPr>
            <w:r w:rsidRPr="00653CB5">
              <w:rPr>
                <w:rFonts w:ascii="Calibri" w:hAnsi="Calibri"/>
                <w:sz w:val="20"/>
                <w:szCs w:val="20"/>
              </w:rPr>
              <w:t xml:space="preserve">Un altro strumento potrebbe essere il </w:t>
            </w:r>
            <w:r w:rsidRPr="00653CB5">
              <w:rPr>
                <w:rFonts w:ascii="Calibri" w:hAnsi="Calibri"/>
                <w:b/>
                <w:sz w:val="20"/>
                <w:szCs w:val="20"/>
              </w:rPr>
              <w:t>bilancio sociale</w:t>
            </w:r>
            <w:r w:rsidRPr="00653CB5">
              <w:rPr>
                <w:rFonts w:ascii="Calibri" w:hAnsi="Calibri"/>
                <w:sz w:val="20"/>
                <w:szCs w:val="20"/>
              </w:rPr>
              <w:t xml:space="preserve">. il bilancio scolastico (programma annuale e consuntivo) si riferisce all’anno finanziario mentre il bilancio sociale fa riferimento all’anno scolastico eliminando quella discrasia che di fatto si verifica nella gestione dell’attività scolastica. Con il bilancio sociale la scuola renderà conto del modo in cui </w:t>
            </w:r>
            <w:r w:rsidRPr="00653CB5">
              <w:rPr>
                <w:rFonts w:ascii="Calibri" w:hAnsi="Calibri"/>
                <w:sz w:val="20"/>
                <w:szCs w:val="20"/>
              </w:rPr>
              <w:tab/>
              <w:t xml:space="preserve">essa interpreta la propria missione istituzionale , esplicitandone i valori di riferimento, la visione e la priorità di intervento, i risultati raggiunti, gli impegni e le azioni che prevede per il futuro. Il bilancio sociale misura le performance della scuola in termini di efficienza (miglior utilizzo delle risorse disponibili), di efficacia (raggiungimento degli obiettivi), di equità (la scuola </w:t>
            </w:r>
            <w:r w:rsidRPr="00653CB5">
              <w:rPr>
                <w:rFonts w:ascii="Calibri" w:hAnsi="Calibri"/>
                <w:sz w:val="20"/>
                <w:szCs w:val="20"/>
              </w:rPr>
              <w:tab/>
              <w:t>come costruttore  del bene per le giovani generazioni).</w:t>
            </w:r>
          </w:p>
          <w:p w:rsidR="00481F96" w:rsidRPr="00653CB5" w:rsidRDefault="00481F96" w:rsidP="00EC02D4">
            <w:pPr>
              <w:pStyle w:val="ListParagraph"/>
              <w:numPr>
                <w:ilvl w:val="0"/>
                <w:numId w:val="11"/>
              </w:numPr>
              <w:snapToGrid w:val="0"/>
              <w:ind w:left="307" w:hanging="284"/>
              <w:jc w:val="both"/>
              <w:rPr>
                <w:rFonts w:ascii="Calibri" w:hAnsi="Calibri"/>
                <w:sz w:val="20"/>
                <w:szCs w:val="20"/>
              </w:rPr>
            </w:pPr>
            <w:r w:rsidRPr="00653CB5">
              <w:rPr>
                <w:rFonts w:ascii="Calibri" w:hAnsi="Calibri"/>
                <w:b/>
                <w:sz w:val="20"/>
                <w:szCs w:val="20"/>
              </w:rPr>
              <w:t>Rivisitazione del regolamento di CONTABILITA’ D.I. 44/2001</w:t>
            </w:r>
            <w:r w:rsidRPr="00653CB5">
              <w:rPr>
                <w:rFonts w:ascii="Calibri" w:hAnsi="Calibri"/>
                <w:sz w:val="20"/>
                <w:szCs w:val="20"/>
              </w:rPr>
              <w:t>.</w:t>
            </w:r>
          </w:p>
          <w:p w:rsidR="00481F96" w:rsidRPr="001002DB" w:rsidRDefault="00481F96" w:rsidP="001002DB">
            <w:pPr>
              <w:pStyle w:val="ListParagraph"/>
              <w:widowControl/>
              <w:numPr>
                <w:ilvl w:val="0"/>
                <w:numId w:val="11"/>
              </w:numPr>
              <w:suppressAutoHyphens w:val="0"/>
              <w:autoSpaceDE w:val="0"/>
              <w:autoSpaceDN w:val="0"/>
              <w:adjustRightInd w:val="0"/>
              <w:ind w:left="307" w:hanging="284"/>
              <w:jc w:val="both"/>
              <w:rPr>
                <w:rFonts w:ascii="Calibri" w:hAnsi="Calibri"/>
                <w:sz w:val="20"/>
                <w:szCs w:val="20"/>
              </w:rPr>
            </w:pPr>
            <w:r w:rsidRPr="00653CB5">
              <w:rPr>
                <w:rFonts w:ascii="Calibri" w:hAnsi="Calibri"/>
                <w:sz w:val="20"/>
                <w:szCs w:val="20"/>
              </w:rPr>
              <w:t xml:space="preserve">Programmi e software più snelli e più aggiornati in base alle esigenze delle II.SS. </w:t>
            </w:r>
          </w:p>
        </w:tc>
      </w:tr>
      <w:tr w:rsidR="00481F96" w:rsidRPr="00916755" w:rsidTr="002D7311">
        <w:tc>
          <w:tcPr>
            <w:tcW w:w="1213" w:type="dxa"/>
            <w:vMerge/>
            <w:tcBorders>
              <w:left w:val="single" w:sz="2" w:space="0" w:color="000000"/>
              <w:bottom w:val="single" w:sz="2" w:space="0" w:color="000000"/>
            </w:tcBorders>
          </w:tcPr>
          <w:p w:rsidR="00481F96" w:rsidRPr="00150EFC" w:rsidRDefault="00481F96" w:rsidP="00343BFB">
            <w:pPr>
              <w:pStyle w:val="Default"/>
              <w:jc w:val="both"/>
              <w:rPr>
                <w:rFonts w:ascii="Calibri" w:hAnsi="Calibri" w:cs="HelveticaNeueLT Std"/>
                <w:sz w:val="20"/>
                <w:szCs w:val="20"/>
              </w:rPr>
            </w:pPr>
          </w:p>
        </w:tc>
        <w:tc>
          <w:tcPr>
            <w:tcW w:w="2977" w:type="dxa"/>
            <w:tcBorders>
              <w:top w:val="single" w:sz="2" w:space="0" w:color="000000"/>
              <w:left w:val="single" w:sz="2" w:space="0" w:color="000000"/>
              <w:bottom w:val="single" w:sz="2" w:space="0" w:color="000000"/>
            </w:tcBorders>
          </w:tcPr>
          <w:p w:rsidR="00481F96" w:rsidRPr="00150EFC" w:rsidRDefault="00481F96" w:rsidP="00343BFB">
            <w:pPr>
              <w:pStyle w:val="Default"/>
              <w:jc w:val="both"/>
              <w:rPr>
                <w:rFonts w:ascii="Calibri" w:hAnsi="Calibri" w:cs="HelveticaNeueLT Std"/>
                <w:sz w:val="17"/>
                <w:szCs w:val="17"/>
              </w:rPr>
            </w:pPr>
            <w:r w:rsidRPr="00150EFC">
              <w:rPr>
                <w:rFonts w:ascii="Calibri" w:hAnsi="Calibri" w:cs="HelveticaNeueLT Std"/>
                <w:sz w:val="17"/>
                <w:szCs w:val="17"/>
              </w:rPr>
              <w:t xml:space="preserve">Ogni scuola dovrà avere vera autonomia, che significa essenzialmente due cose: </w:t>
            </w:r>
          </w:p>
          <w:p w:rsidR="00481F96" w:rsidRPr="00150EFC" w:rsidRDefault="00481F96" w:rsidP="00653CB5">
            <w:pPr>
              <w:pStyle w:val="Default"/>
              <w:numPr>
                <w:ilvl w:val="0"/>
                <w:numId w:val="3"/>
              </w:numPr>
              <w:ind w:left="134" w:hanging="134"/>
              <w:jc w:val="both"/>
              <w:rPr>
                <w:rFonts w:ascii="Calibri" w:hAnsi="Calibri" w:cs="HelveticaNeueLT Std"/>
                <w:sz w:val="17"/>
                <w:szCs w:val="17"/>
              </w:rPr>
            </w:pPr>
            <w:r w:rsidRPr="00150EFC">
              <w:rPr>
                <w:rFonts w:ascii="Calibri" w:hAnsi="Calibri" w:cs="HelveticaNeueLT Std"/>
                <w:sz w:val="17"/>
                <w:szCs w:val="17"/>
              </w:rPr>
              <w:t>valuta</w:t>
            </w:r>
            <w:r w:rsidRPr="00150EFC">
              <w:rPr>
                <w:rFonts w:ascii="Calibri" w:hAnsi="Calibri" w:cs="HelveticaNeueLT Std"/>
                <w:sz w:val="17"/>
                <w:szCs w:val="17"/>
              </w:rPr>
              <w:softHyphen/>
              <w:t xml:space="preserve">zione dei suoi risultati per poter predisporre un piano di miglioramento </w:t>
            </w:r>
          </w:p>
          <w:p w:rsidR="00481F96" w:rsidRPr="00150EFC" w:rsidRDefault="00481F96" w:rsidP="00653CB5">
            <w:pPr>
              <w:pStyle w:val="Default"/>
              <w:numPr>
                <w:ilvl w:val="0"/>
                <w:numId w:val="3"/>
              </w:numPr>
              <w:ind w:left="134" w:hanging="134"/>
              <w:jc w:val="both"/>
              <w:rPr>
                <w:rFonts w:ascii="Calibri" w:hAnsi="Calibri" w:cs="HelveticaNeueLT Std"/>
                <w:sz w:val="17"/>
                <w:szCs w:val="17"/>
              </w:rPr>
            </w:pPr>
            <w:r w:rsidRPr="00150EFC">
              <w:rPr>
                <w:rFonts w:ascii="Calibri" w:hAnsi="Calibri" w:cs="HelveticaNeueLT Std"/>
                <w:sz w:val="17"/>
                <w:szCs w:val="17"/>
              </w:rPr>
              <w:t>buona gover</w:t>
            </w:r>
            <w:r w:rsidRPr="00150EFC">
              <w:rPr>
                <w:rFonts w:ascii="Calibri" w:hAnsi="Calibri" w:cs="HelveticaNeueLT Std"/>
                <w:sz w:val="17"/>
                <w:szCs w:val="17"/>
              </w:rPr>
              <w:softHyphen/>
              <w:t xml:space="preserve">nance della scuola. </w:t>
            </w:r>
          </w:p>
          <w:p w:rsidR="00481F96" w:rsidRPr="00150EFC" w:rsidRDefault="00481F96" w:rsidP="0045405D">
            <w:pPr>
              <w:pStyle w:val="Default"/>
              <w:jc w:val="both"/>
              <w:rPr>
                <w:rFonts w:ascii="Calibri" w:hAnsi="Calibri"/>
                <w:sz w:val="17"/>
                <w:szCs w:val="17"/>
              </w:rPr>
            </w:pPr>
            <w:r w:rsidRPr="00150EFC">
              <w:rPr>
                <w:rFonts w:ascii="Calibri" w:hAnsi="Calibri"/>
                <w:sz w:val="17"/>
                <w:szCs w:val="17"/>
              </w:rPr>
              <w:t xml:space="preserve">Le linee guida ipotizzano di sottrarre alla contrattazione </w:t>
            </w:r>
          </w:p>
          <w:p w:rsidR="00481F96" w:rsidRPr="00150EFC" w:rsidRDefault="00481F96" w:rsidP="00ED4938">
            <w:pPr>
              <w:pStyle w:val="Default"/>
              <w:numPr>
                <w:ilvl w:val="0"/>
                <w:numId w:val="3"/>
              </w:numPr>
              <w:ind w:left="134" w:hanging="134"/>
              <w:jc w:val="both"/>
              <w:rPr>
                <w:rFonts w:ascii="Calibri" w:hAnsi="Calibri" w:cs="HelveticaNeueLT Std"/>
                <w:sz w:val="17"/>
                <w:szCs w:val="17"/>
              </w:rPr>
            </w:pPr>
            <w:r w:rsidRPr="00150EFC">
              <w:rPr>
                <w:rFonts w:ascii="Calibri" w:hAnsi="Calibri" w:cs="HelveticaNeueLT Std"/>
                <w:sz w:val="17"/>
                <w:szCs w:val="17"/>
              </w:rPr>
              <w:t xml:space="preserve">10% del MOF assegnandolo alla piena disponibilità del D.S. per attività gestionali e di particolare rilievo per il Piano di Miglioramento; </w:t>
            </w:r>
          </w:p>
          <w:p w:rsidR="00481F96" w:rsidRPr="00150EFC" w:rsidRDefault="00481F96" w:rsidP="00ED4938">
            <w:pPr>
              <w:pStyle w:val="Default"/>
              <w:numPr>
                <w:ilvl w:val="0"/>
                <w:numId w:val="3"/>
              </w:numPr>
              <w:ind w:left="134" w:hanging="134"/>
              <w:jc w:val="both"/>
              <w:rPr>
                <w:rFonts w:ascii="Calibri" w:hAnsi="Calibri"/>
                <w:sz w:val="20"/>
                <w:szCs w:val="20"/>
              </w:rPr>
            </w:pPr>
            <w:r w:rsidRPr="00150EFC">
              <w:rPr>
                <w:rFonts w:ascii="Calibri" w:hAnsi="Calibri" w:cs="HelveticaNeueLT Std"/>
                <w:sz w:val="17"/>
                <w:szCs w:val="17"/>
              </w:rPr>
              <w:t>5% destinata a gestione partecipata con studenti e genitori per finalità strategiche del Piano di miglioramento (laboratori-tecnologie-percorsi imprenditoriali).</w:t>
            </w:r>
            <w:r w:rsidRPr="00150EFC">
              <w:rPr>
                <w:rFonts w:ascii="Calibri" w:hAnsi="Calibri"/>
                <w:sz w:val="20"/>
                <w:szCs w:val="20"/>
              </w:rPr>
              <w:t xml:space="preserve"> </w:t>
            </w:r>
          </w:p>
        </w:tc>
        <w:tc>
          <w:tcPr>
            <w:tcW w:w="2835" w:type="dxa"/>
            <w:tcBorders>
              <w:top w:val="single" w:sz="2" w:space="0" w:color="000000"/>
              <w:left w:val="single" w:sz="2" w:space="0" w:color="000000"/>
              <w:bottom w:val="single" w:sz="2" w:space="0" w:color="000000"/>
            </w:tcBorders>
          </w:tcPr>
          <w:p w:rsidR="00481F96" w:rsidRPr="00916755" w:rsidRDefault="00481F96" w:rsidP="002C0EBF">
            <w:pPr>
              <w:snapToGrid w:val="0"/>
              <w:jc w:val="both"/>
              <w:rPr>
                <w:rFonts w:ascii="Calibri" w:hAnsi="Calibri"/>
                <w:sz w:val="20"/>
                <w:szCs w:val="20"/>
              </w:rPr>
            </w:pPr>
            <w:r w:rsidRPr="00916755">
              <w:rPr>
                <w:rFonts w:ascii="Calibri" w:hAnsi="Calibri"/>
                <w:sz w:val="20"/>
                <w:szCs w:val="20"/>
              </w:rPr>
              <w:t>Una criticità importante è dato dal fatto che non è chiarito al momento cosa rientrerà nella disponibilità del DS</w:t>
            </w:r>
            <w:r>
              <w:rPr>
                <w:rFonts w:ascii="Calibri" w:hAnsi="Calibri"/>
                <w:sz w:val="20"/>
                <w:szCs w:val="20"/>
              </w:rPr>
              <w:t xml:space="preserve"> ed anche le stesse percentuali forse troppo rigide</w:t>
            </w:r>
            <w:r w:rsidRPr="00916755">
              <w:rPr>
                <w:rFonts w:ascii="Calibri" w:hAnsi="Calibri"/>
                <w:sz w:val="20"/>
                <w:szCs w:val="20"/>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481F96" w:rsidRPr="00916755" w:rsidRDefault="00481F96" w:rsidP="0045405D">
            <w:pPr>
              <w:snapToGrid w:val="0"/>
              <w:jc w:val="both"/>
              <w:rPr>
                <w:rFonts w:ascii="Calibri" w:hAnsi="Calibri"/>
                <w:sz w:val="20"/>
                <w:szCs w:val="20"/>
              </w:rPr>
            </w:pPr>
            <w:r w:rsidRPr="00916755">
              <w:rPr>
                <w:rFonts w:ascii="Calibri" w:hAnsi="Calibri"/>
                <w:sz w:val="20"/>
                <w:szCs w:val="20"/>
              </w:rPr>
              <w:t>Il rinnovo contrattuale rappresenterebbe un’occasione per adeguare i vecchi istituti contrattuali ad una realtà più dinamica</w:t>
            </w:r>
          </w:p>
        </w:tc>
        <w:tc>
          <w:tcPr>
            <w:tcW w:w="5425" w:type="dxa"/>
            <w:tcBorders>
              <w:top w:val="single" w:sz="2" w:space="0" w:color="000000"/>
              <w:left w:val="single" w:sz="2" w:space="0" w:color="000000"/>
              <w:bottom w:val="single" w:sz="2" w:space="0" w:color="000000"/>
              <w:right w:val="single" w:sz="2" w:space="0" w:color="000000"/>
            </w:tcBorders>
          </w:tcPr>
          <w:p w:rsidR="00481F96" w:rsidRPr="00D30EEE" w:rsidRDefault="00481F96" w:rsidP="008B1F23">
            <w:pPr>
              <w:snapToGrid w:val="0"/>
              <w:jc w:val="both"/>
              <w:rPr>
                <w:rFonts w:ascii="Calibri" w:hAnsi="Calibri"/>
                <w:sz w:val="19"/>
                <w:szCs w:val="19"/>
              </w:rPr>
            </w:pPr>
            <w:r w:rsidRPr="00D30EEE">
              <w:rPr>
                <w:rFonts w:ascii="Calibri" w:hAnsi="Calibri"/>
                <w:sz w:val="19"/>
                <w:szCs w:val="19"/>
              </w:rPr>
              <w:t xml:space="preserve">Le risorse assegnate dallo Stato, costituenti la dotazione finanziaria di istituto sono utilizzate, a norma dell'articolo 21, comma 5, della </w:t>
            </w:r>
            <w:r w:rsidRPr="00D30EEE">
              <w:rPr>
                <w:rFonts w:ascii="Calibri" w:hAnsi="Calibri"/>
                <w:i/>
                <w:iCs/>
                <w:sz w:val="19"/>
                <w:szCs w:val="19"/>
              </w:rPr>
              <w:t>legge n. 59 del 1997</w:t>
            </w:r>
            <w:r w:rsidRPr="00D30EEE">
              <w:rPr>
                <w:rFonts w:ascii="Calibri" w:hAnsi="Calibri"/>
                <w:sz w:val="19"/>
                <w:szCs w:val="19"/>
              </w:rPr>
              <w:t xml:space="preserve"> e dell'articolo 6, comma 3 del </w:t>
            </w:r>
            <w:r w:rsidRPr="00D30EEE">
              <w:rPr>
                <w:rFonts w:ascii="Calibri" w:hAnsi="Calibri"/>
                <w:i/>
                <w:iCs/>
                <w:sz w:val="19"/>
                <w:szCs w:val="19"/>
              </w:rPr>
              <w:t>decreto del Presidente della Repubblica n. 233 del 1998</w:t>
            </w:r>
            <w:r w:rsidRPr="00D30EEE">
              <w:rPr>
                <w:rFonts w:ascii="Calibri" w:hAnsi="Calibri"/>
                <w:sz w:val="19"/>
                <w:szCs w:val="19"/>
              </w:rPr>
              <w:t xml:space="preserve">, senza altro vincolo di destinazione che quello prioritario per lo svolgimento delle attività di istruzione, di formazione e di orientamento proprie dell'istituzione interessata, come previste ed organizzate nel piano dell'offerta formativa (P.O.F.), nel rispetto delle competenze attribuite o delegate alle regioni e agli enti locali dalla normativa vigente. Tale principio che avrebbe agevolato l’autonomia finanziaria delle scuole, di fatto è stato disatteso dal forte legame agli istituti contrattuali, </w:t>
            </w:r>
            <w:r w:rsidRPr="00D30EEE">
              <w:rPr>
                <w:rFonts w:ascii="Calibri" w:hAnsi="Calibri"/>
                <w:b/>
                <w:sz w:val="19"/>
                <w:szCs w:val="19"/>
              </w:rPr>
              <w:t xml:space="preserve">avere dei finanziamenti slegati dagli istituti contrattuali e dare la possibilità di scelta al dirigente scolastico sull’allocazione delle risorse </w:t>
            </w:r>
            <w:r w:rsidRPr="00D30EEE">
              <w:rPr>
                <w:rFonts w:ascii="Calibri" w:hAnsi="Calibri"/>
                <w:sz w:val="19"/>
                <w:szCs w:val="19"/>
              </w:rPr>
              <w:t>potrebbe rappresentare un punto di partenza per la valutazione del dirigente e per la valutazione delle performance della scuola pubblica</w:t>
            </w:r>
          </w:p>
        </w:tc>
      </w:tr>
      <w:tr w:rsidR="00481F96" w:rsidRPr="00B76178" w:rsidTr="00212900">
        <w:tc>
          <w:tcPr>
            <w:tcW w:w="1213"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RIF. DOC.LE</w:t>
            </w:r>
          </w:p>
        </w:tc>
        <w:tc>
          <w:tcPr>
            <w:tcW w:w="2977"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HAI APPREZZATO</w:t>
            </w:r>
          </w:p>
        </w:tc>
        <w:tc>
          <w:tcPr>
            <w:tcW w:w="2835" w:type="dxa"/>
            <w:tcBorders>
              <w:top w:val="single" w:sz="2" w:space="0" w:color="000000"/>
              <w:left w:val="single" w:sz="2" w:space="0" w:color="000000"/>
              <w:bottom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PUNTI CRITICI</w:t>
            </w:r>
          </w:p>
        </w:tc>
        <w:tc>
          <w:tcPr>
            <w:tcW w:w="2835" w:type="dxa"/>
            <w:tcBorders>
              <w:top w:val="single" w:sz="2" w:space="0" w:color="000000"/>
              <w:left w:val="single" w:sz="2" w:space="0" w:color="000000"/>
              <w:bottom w:val="single" w:sz="2" w:space="0" w:color="000000"/>
              <w:right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MANCA</w:t>
            </w:r>
          </w:p>
        </w:tc>
        <w:tc>
          <w:tcPr>
            <w:tcW w:w="5425" w:type="dxa"/>
            <w:tcBorders>
              <w:top w:val="single" w:sz="2" w:space="0" w:color="000000"/>
              <w:left w:val="single" w:sz="2" w:space="0" w:color="000000"/>
              <w:bottom w:val="single" w:sz="2" w:space="0" w:color="000000"/>
              <w:right w:val="single" w:sz="2" w:space="0" w:color="000000"/>
            </w:tcBorders>
          </w:tcPr>
          <w:p w:rsidR="00481F96" w:rsidRPr="00B76178" w:rsidRDefault="00481F96" w:rsidP="0037753C">
            <w:pPr>
              <w:snapToGrid w:val="0"/>
              <w:jc w:val="both"/>
              <w:rPr>
                <w:rFonts w:ascii="Calibri" w:hAnsi="Calibri"/>
                <w:i/>
                <w:iCs/>
                <w:sz w:val="20"/>
                <w:szCs w:val="20"/>
              </w:rPr>
            </w:pPr>
            <w:r w:rsidRPr="00B76178">
              <w:rPr>
                <w:rFonts w:ascii="Calibri" w:hAnsi="Calibri"/>
                <w:i/>
                <w:iCs/>
                <w:sz w:val="20"/>
                <w:szCs w:val="20"/>
              </w:rPr>
              <w:t>COSA SI PUO’ PROPORRE</w:t>
            </w:r>
          </w:p>
        </w:tc>
      </w:tr>
      <w:tr w:rsidR="00481F96" w:rsidRPr="00916755" w:rsidTr="00212900">
        <w:tc>
          <w:tcPr>
            <w:tcW w:w="1213" w:type="dxa"/>
            <w:tcBorders>
              <w:top w:val="single" w:sz="2" w:space="0" w:color="000000"/>
              <w:left w:val="single" w:sz="2" w:space="0" w:color="000000"/>
              <w:bottom w:val="single" w:sz="2" w:space="0" w:color="000000"/>
            </w:tcBorders>
          </w:tcPr>
          <w:p w:rsidR="00481F96" w:rsidRPr="00150EFC" w:rsidRDefault="00481F96" w:rsidP="00FF23CC">
            <w:pPr>
              <w:pStyle w:val="Default"/>
              <w:jc w:val="both"/>
              <w:rPr>
                <w:rFonts w:ascii="Calibri" w:hAnsi="Calibri" w:cs="HelveticaNeueLT Std"/>
                <w:sz w:val="20"/>
                <w:szCs w:val="20"/>
              </w:rPr>
            </w:pPr>
          </w:p>
          <w:p w:rsidR="00481F96" w:rsidRPr="00150EFC" w:rsidRDefault="00481F96" w:rsidP="00C752B7">
            <w:pPr>
              <w:pStyle w:val="Default"/>
              <w:jc w:val="both"/>
              <w:rPr>
                <w:rFonts w:ascii="Calibri" w:hAnsi="Calibri" w:cs="HelveticaNeueLT Std"/>
                <w:sz w:val="20"/>
                <w:szCs w:val="20"/>
              </w:rPr>
            </w:pPr>
            <w:r w:rsidRPr="00150EFC">
              <w:rPr>
                <w:rFonts w:ascii="Calibri" w:hAnsi="Calibri" w:cs="HelveticaNeueLT Std"/>
                <w:sz w:val="20"/>
                <w:szCs w:val="20"/>
              </w:rPr>
              <w:t>Allineare ogni risorsa possibile: PON Istruzione, Investimenti privati (autonomia patrimoniale).</w:t>
            </w:r>
          </w:p>
        </w:tc>
        <w:tc>
          <w:tcPr>
            <w:tcW w:w="2977" w:type="dxa"/>
            <w:tcBorders>
              <w:top w:val="single" w:sz="2" w:space="0" w:color="000000"/>
              <w:left w:val="single" w:sz="2" w:space="0" w:color="000000"/>
              <w:bottom w:val="single" w:sz="2" w:space="0" w:color="000000"/>
            </w:tcBorders>
          </w:tcPr>
          <w:p w:rsidR="00481F96" w:rsidRPr="00150EFC" w:rsidRDefault="00481F96" w:rsidP="00FF23CC">
            <w:pPr>
              <w:pStyle w:val="Default"/>
              <w:jc w:val="both"/>
              <w:rPr>
                <w:rFonts w:ascii="Calibri" w:hAnsi="Calibri" w:cs="HelveticaNeueLT Std"/>
                <w:sz w:val="20"/>
                <w:szCs w:val="20"/>
              </w:rPr>
            </w:pPr>
            <w:r w:rsidRPr="00150EFC">
              <w:rPr>
                <w:rFonts w:ascii="Calibri" w:hAnsi="Calibri" w:cs="HelveticaNeueLT Std"/>
                <w:sz w:val="20"/>
                <w:szCs w:val="20"/>
              </w:rPr>
              <w:t>Le risorse dei privati devono affiancare quelle pubbliche.</w:t>
            </w:r>
          </w:p>
          <w:p w:rsidR="00481F96" w:rsidRPr="00150EFC" w:rsidRDefault="00481F96" w:rsidP="0045405D">
            <w:pPr>
              <w:pStyle w:val="Default"/>
              <w:jc w:val="both"/>
              <w:rPr>
                <w:rFonts w:ascii="Calibri" w:hAnsi="Calibri"/>
                <w:sz w:val="20"/>
                <w:szCs w:val="20"/>
              </w:rPr>
            </w:pPr>
            <w:r w:rsidRPr="00150EFC">
              <w:rPr>
                <w:rFonts w:ascii="Calibri" w:hAnsi="Calibri"/>
                <w:sz w:val="20"/>
                <w:szCs w:val="20"/>
              </w:rPr>
              <w:t>Forte incentivazione ai finanziamenti privati attraverso tre strumenti:</w:t>
            </w:r>
          </w:p>
          <w:p w:rsidR="00481F96" w:rsidRPr="00150EFC" w:rsidRDefault="00481F96" w:rsidP="0045405D">
            <w:pPr>
              <w:pStyle w:val="Default"/>
              <w:numPr>
                <w:ilvl w:val="0"/>
                <w:numId w:val="7"/>
              </w:numPr>
              <w:rPr>
                <w:rFonts w:ascii="Calibri" w:hAnsi="Calibri"/>
                <w:sz w:val="20"/>
                <w:szCs w:val="20"/>
              </w:rPr>
            </w:pPr>
            <w:r w:rsidRPr="00150EFC">
              <w:rPr>
                <w:rFonts w:ascii="Calibri" w:hAnsi="Calibri"/>
                <w:b/>
                <w:bCs/>
                <w:sz w:val="20"/>
                <w:szCs w:val="20"/>
              </w:rPr>
              <w:t xml:space="preserve">“School bonus” </w:t>
            </w:r>
            <w:r w:rsidRPr="00150EFC">
              <w:rPr>
                <w:rFonts w:ascii="Calibri" w:hAnsi="Calibri"/>
                <w:sz w:val="20"/>
                <w:szCs w:val="20"/>
              </w:rPr>
              <w:t xml:space="preserve">Buono fiscale detraibile dalle imposte per privati, associazioni, fondazioni, imprese, utilizzato ad esempio per interventi su edifici scolastici, laboratori, apertura prolungata. </w:t>
            </w:r>
          </w:p>
          <w:p w:rsidR="00481F96" w:rsidRPr="00150EFC" w:rsidRDefault="00481F96" w:rsidP="0045405D">
            <w:pPr>
              <w:pStyle w:val="Default"/>
              <w:numPr>
                <w:ilvl w:val="0"/>
                <w:numId w:val="7"/>
              </w:numPr>
              <w:rPr>
                <w:rFonts w:ascii="Calibri" w:hAnsi="Calibri"/>
                <w:sz w:val="20"/>
                <w:szCs w:val="20"/>
              </w:rPr>
            </w:pPr>
            <w:r w:rsidRPr="00150EFC">
              <w:rPr>
                <w:rFonts w:ascii="Calibri" w:hAnsi="Calibri"/>
                <w:b/>
                <w:bCs/>
                <w:sz w:val="20"/>
                <w:szCs w:val="20"/>
              </w:rPr>
              <w:t xml:space="preserve">“School guarantee” </w:t>
            </w:r>
            <w:r w:rsidRPr="00150EFC">
              <w:rPr>
                <w:rFonts w:ascii="Calibri" w:hAnsi="Calibri"/>
                <w:sz w:val="20"/>
                <w:szCs w:val="20"/>
              </w:rPr>
              <w:t xml:space="preserve">Incentivi (fiscali o altro) per le imprese che finanziando progetti per il successo formativo creeranno occupazione giovanile. </w:t>
            </w:r>
          </w:p>
          <w:p w:rsidR="00481F96" w:rsidRPr="00150EFC" w:rsidRDefault="00481F96" w:rsidP="0045405D">
            <w:pPr>
              <w:pStyle w:val="Default"/>
              <w:numPr>
                <w:ilvl w:val="0"/>
                <w:numId w:val="7"/>
              </w:numPr>
              <w:jc w:val="both"/>
              <w:rPr>
                <w:rFonts w:ascii="Calibri" w:hAnsi="Calibri" w:cs="HelveticaNeueLT Std"/>
                <w:sz w:val="20"/>
                <w:szCs w:val="20"/>
              </w:rPr>
            </w:pPr>
            <w:r w:rsidRPr="00150EFC">
              <w:rPr>
                <w:rFonts w:ascii="Calibri" w:hAnsi="Calibri"/>
                <w:b/>
                <w:bCs/>
                <w:sz w:val="20"/>
                <w:szCs w:val="20"/>
              </w:rPr>
              <w:t>“Raccolta fondi tra genitori e studenti”</w:t>
            </w:r>
            <w:r w:rsidRPr="00150EFC">
              <w:rPr>
                <w:rFonts w:ascii="Calibri" w:hAnsi="Calibri"/>
                <w:sz w:val="20"/>
                <w:szCs w:val="20"/>
              </w:rPr>
              <w:t xml:space="preserve"> incentivata con la messa a disposizione di analoga cifra (o doppia) di quanto raccolto da parte dello Stato per progetti didattici significativi.</w:t>
            </w:r>
          </w:p>
        </w:tc>
        <w:tc>
          <w:tcPr>
            <w:tcW w:w="2835" w:type="dxa"/>
            <w:tcBorders>
              <w:top w:val="single" w:sz="2" w:space="0" w:color="000000"/>
              <w:left w:val="single" w:sz="2" w:space="0" w:color="000000"/>
              <w:bottom w:val="single" w:sz="2" w:space="0" w:color="000000"/>
            </w:tcBorders>
          </w:tcPr>
          <w:p w:rsidR="00481F96" w:rsidRPr="00916755" w:rsidRDefault="00481F96" w:rsidP="0045405D">
            <w:pPr>
              <w:snapToGrid w:val="0"/>
              <w:jc w:val="both"/>
              <w:rPr>
                <w:rFonts w:ascii="Calibri" w:hAnsi="Calibri"/>
                <w:b/>
                <w:bCs/>
                <w:sz w:val="20"/>
                <w:szCs w:val="20"/>
              </w:rPr>
            </w:pPr>
            <w:r w:rsidRPr="00916755">
              <w:rPr>
                <w:rFonts w:ascii="Calibri" w:hAnsi="Calibri"/>
                <w:b/>
                <w:bCs/>
                <w:sz w:val="20"/>
                <w:szCs w:val="20"/>
              </w:rPr>
              <w:t>Pratiche già note al mondo della scuola anche se di fatto, ad oggi, l’unica attivabile è quella della raccolta fondi tra i genitori che, tra l’altro fanno sempre più fatica a pagare il contributo volontario che può essere utilizzato solo per il Miglioramento dell’offerta formativa.</w:t>
            </w:r>
          </w:p>
          <w:p w:rsidR="00481F96" w:rsidRPr="00150EFC" w:rsidRDefault="00481F96" w:rsidP="0045405D">
            <w:pPr>
              <w:pStyle w:val="Default"/>
              <w:rPr>
                <w:rFonts w:ascii="Calibri" w:hAnsi="Calibri"/>
                <w:sz w:val="20"/>
                <w:szCs w:val="20"/>
              </w:rPr>
            </w:pPr>
          </w:p>
          <w:p w:rsidR="00481F96" w:rsidRPr="00150EFC" w:rsidRDefault="00481F96" w:rsidP="00FF23CC">
            <w:pPr>
              <w:pStyle w:val="Default"/>
              <w:jc w:val="both"/>
              <w:rPr>
                <w:rFonts w:ascii="Calibri" w:hAnsi="Calibri"/>
                <w:sz w:val="20"/>
                <w:szCs w:val="20"/>
              </w:rPr>
            </w:pPr>
          </w:p>
        </w:tc>
        <w:tc>
          <w:tcPr>
            <w:tcW w:w="2835" w:type="dxa"/>
            <w:tcBorders>
              <w:top w:val="single" w:sz="2" w:space="0" w:color="000000"/>
              <w:left w:val="single" w:sz="2" w:space="0" w:color="000000"/>
              <w:bottom w:val="single" w:sz="2" w:space="0" w:color="000000"/>
              <w:right w:val="single" w:sz="2" w:space="0" w:color="000000"/>
            </w:tcBorders>
          </w:tcPr>
          <w:p w:rsidR="00481F96" w:rsidRPr="00916755" w:rsidRDefault="00481F96" w:rsidP="0045405D">
            <w:pPr>
              <w:snapToGrid w:val="0"/>
              <w:jc w:val="both"/>
              <w:rPr>
                <w:rFonts w:ascii="Calibri" w:hAnsi="Calibri"/>
                <w:sz w:val="20"/>
                <w:szCs w:val="20"/>
              </w:rPr>
            </w:pPr>
            <w:r w:rsidRPr="00916755">
              <w:rPr>
                <w:rFonts w:ascii="Calibri" w:hAnsi="Calibri"/>
                <w:b/>
                <w:bCs/>
                <w:sz w:val="20"/>
                <w:szCs w:val="20"/>
              </w:rPr>
              <w:t>Consentire a “privati” il sostegno economico alle scuole   non deve allontanare lo Stato dalla sua responsabilità costituzionale, nella buona scuola n</w:t>
            </w:r>
            <w:r w:rsidRPr="00916755">
              <w:rPr>
                <w:rFonts w:ascii="Calibri" w:hAnsi="Calibri"/>
                <w:spacing w:val="12"/>
                <w:sz w:val="20"/>
                <w:szCs w:val="20"/>
              </w:rPr>
              <w:t xml:space="preserve">on si fa cenno nel documento alle misure di cui servirsi per agevolare l’inclusione multi- etnica nelle scuole (questione di particolare rilievo) né si prevedono  provvedimenti </w:t>
            </w:r>
            <w:r w:rsidRPr="00916755">
              <w:rPr>
                <w:rFonts w:ascii="Calibri" w:hAnsi="Calibri"/>
                <w:sz w:val="20"/>
                <w:szCs w:val="20"/>
              </w:rPr>
              <w:t>concreti da adottare per salvaguardare i diritti dei bambini e ragazzi portatori di handicap</w:t>
            </w:r>
          </w:p>
        </w:tc>
        <w:tc>
          <w:tcPr>
            <w:tcW w:w="5425" w:type="dxa"/>
            <w:tcBorders>
              <w:top w:val="single" w:sz="2" w:space="0" w:color="000000"/>
              <w:left w:val="single" w:sz="2" w:space="0" w:color="000000"/>
              <w:bottom w:val="single" w:sz="2" w:space="0" w:color="000000"/>
              <w:right w:val="single" w:sz="2" w:space="0" w:color="000000"/>
            </w:tcBorders>
          </w:tcPr>
          <w:p w:rsidR="00481F96" w:rsidRDefault="00481F96" w:rsidP="00FF23CC">
            <w:pPr>
              <w:snapToGrid w:val="0"/>
              <w:jc w:val="both"/>
              <w:rPr>
                <w:rFonts w:ascii="Calibri" w:hAnsi="Calibri"/>
                <w:sz w:val="20"/>
                <w:szCs w:val="20"/>
              </w:rPr>
            </w:pPr>
            <w:r>
              <w:rPr>
                <w:rFonts w:ascii="Calibri" w:hAnsi="Calibri"/>
                <w:sz w:val="20"/>
                <w:szCs w:val="20"/>
              </w:rPr>
              <w:t xml:space="preserve">Il Ministero dovrebbe favorire </w:t>
            </w:r>
            <w:r w:rsidRPr="0019217E">
              <w:rPr>
                <w:rFonts w:ascii="Calibri" w:hAnsi="Calibri"/>
                <w:b/>
                <w:sz w:val="20"/>
                <w:szCs w:val="20"/>
              </w:rPr>
              <w:t>l’accesso di tutte le scuole ai fondi europei</w:t>
            </w:r>
            <w:r>
              <w:rPr>
                <w:rFonts w:ascii="Calibri" w:hAnsi="Calibri"/>
                <w:sz w:val="20"/>
                <w:szCs w:val="20"/>
              </w:rPr>
              <w:t xml:space="preserve"> ad esempio organizzando osservatori, ovvero formazioni specifiche, piattaforme unitarie, ecc.</w:t>
            </w:r>
          </w:p>
          <w:p w:rsidR="00481F96" w:rsidRDefault="00481F96" w:rsidP="00FF23CC">
            <w:pPr>
              <w:snapToGrid w:val="0"/>
              <w:jc w:val="both"/>
              <w:rPr>
                <w:rFonts w:ascii="Calibri" w:hAnsi="Calibri"/>
                <w:sz w:val="20"/>
                <w:szCs w:val="20"/>
              </w:rPr>
            </w:pPr>
            <w:r>
              <w:rPr>
                <w:rFonts w:ascii="Calibri" w:hAnsi="Calibri"/>
                <w:sz w:val="20"/>
                <w:szCs w:val="20"/>
              </w:rPr>
              <w:t xml:space="preserve">Le scuole potrebbero essere </w:t>
            </w:r>
            <w:r w:rsidRPr="0019217E">
              <w:rPr>
                <w:rFonts w:ascii="Calibri" w:hAnsi="Calibri"/>
                <w:b/>
                <w:sz w:val="20"/>
                <w:szCs w:val="20"/>
              </w:rPr>
              <w:t>il trait d’union</w:t>
            </w:r>
            <w:r>
              <w:rPr>
                <w:rFonts w:ascii="Calibri" w:hAnsi="Calibri"/>
                <w:sz w:val="20"/>
                <w:szCs w:val="20"/>
              </w:rPr>
              <w:t xml:space="preserve"> con le PMI (Piccole e Medie Imprese) per l’accesso a tali finanziamenti per la progettazione, la rendicontazione in modo da realizzare progetti utili non solo alla scuola stessa per autofinanziarsi, ma anche il necessario collegamento con il  mondo del lavoro, l’orientamento degli alunni ed una didattica più orientata al mercato del lavoro.</w:t>
            </w:r>
          </w:p>
          <w:p w:rsidR="00481F96" w:rsidRDefault="00481F96" w:rsidP="00FF23CC">
            <w:pPr>
              <w:snapToGrid w:val="0"/>
              <w:jc w:val="both"/>
              <w:rPr>
                <w:rFonts w:ascii="Calibri" w:hAnsi="Calibri"/>
                <w:sz w:val="20"/>
                <w:szCs w:val="20"/>
              </w:rPr>
            </w:pPr>
          </w:p>
          <w:p w:rsidR="00481F96" w:rsidRPr="0019217E" w:rsidRDefault="00481F96" w:rsidP="0008182F">
            <w:pPr>
              <w:pStyle w:val="ListParagraph"/>
              <w:numPr>
                <w:ilvl w:val="0"/>
                <w:numId w:val="14"/>
              </w:numPr>
              <w:snapToGrid w:val="0"/>
              <w:ind w:left="309" w:hanging="142"/>
              <w:jc w:val="both"/>
              <w:rPr>
                <w:rFonts w:ascii="Calibri" w:hAnsi="Calibri"/>
                <w:sz w:val="20"/>
                <w:szCs w:val="20"/>
              </w:rPr>
            </w:pPr>
            <w:r w:rsidRPr="0019217E">
              <w:rPr>
                <w:rFonts w:ascii="Calibri" w:hAnsi="Calibri"/>
                <w:sz w:val="20"/>
                <w:szCs w:val="20"/>
              </w:rPr>
              <w:t>L’utilizzo di altri strumenti innovativi</w:t>
            </w:r>
            <w:r>
              <w:rPr>
                <w:rFonts w:ascii="Calibri" w:hAnsi="Calibri"/>
                <w:sz w:val="20"/>
                <w:szCs w:val="20"/>
              </w:rPr>
              <w:t>,</w:t>
            </w:r>
            <w:r w:rsidRPr="0019217E">
              <w:rPr>
                <w:rFonts w:ascii="Calibri" w:hAnsi="Calibri"/>
                <w:sz w:val="20"/>
                <w:szCs w:val="20"/>
              </w:rPr>
              <w:t xml:space="preserve"> si propongono alcuni esempi </w:t>
            </w:r>
            <w:r>
              <w:rPr>
                <w:rFonts w:ascii="Calibri" w:hAnsi="Calibri"/>
                <w:sz w:val="20"/>
                <w:szCs w:val="20"/>
              </w:rPr>
              <w:t>d</w:t>
            </w:r>
            <w:r w:rsidRPr="0019217E">
              <w:rPr>
                <w:rFonts w:ascii="Calibri" w:hAnsi="Calibri"/>
                <w:sz w:val="20"/>
                <w:szCs w:val="20"/>
              </w:rPr>
              <w:t xml:space="preserve">i </w:t>
            </w:r>
            <w:r w:rsidRPr="0019217E">
              <w:rPr>
                <w:rFonts w:ascii="Calibri" w:hAnsi="Calibri"/>
                <w:kern w:val="24"/>
                <w:sz w:val="20"/>
                <w:szCs w:val="20"/>
              </w:rPr>
              <w:t>contratti di sponsorizzazione, magari più consoni alle esigenze della scuola e delle stesse aziende. Ad esempio una ditta fornitrice di PC potrebbe</w:t>
            </w:r>
            <w:r>
              <w:rPr>
                <w:rFonts w:ascii="Calibri" w:hAnsi="Calibri"/>
                <w:kern w:val="24"/>
                <w:sz w:val="20"/>
                <w:szCs w:val="20"/>
              </w:rPr>
              <w:t xml:space="preserve"> ricevere come corrispettivo un’adeguata pubblicità su portale della scuola</w:t>
            </w:r>
            <w:r w:rsidRPr="0019217E">
              <w:rPr>
                <w:rFonts w:ascii="Calibri" w:hAnsi="Calibri"/>
                <w:kern w:val="24"/>
                <w:sz w:val="20"/>
                <w:szCs w:val="20"/>
              </w:rPr>
              <w:t xml:space="preserve">. </w:t>
            </w:r>
            <w:r>
              <w:rPr>
                <w:rFonts w:ascii="Calibri" w:hAnsi="Calibri"/>
                <w:kern w:val="24"/>
                <w:sz w:val="20"/>
                <w:szCs w:val="20"/>
              </w:rPr>
              <w:t>O</w:t>
            </w:r>
            <w:r w:rsidRPr="0019217E">
              <w:rPr>
                <w:rFonts w:ascii="Calibri" w:hAnsi="Calibri"/>
                <w:kern w:val="24"/>
                <w:sz w:val="20"/>
                <w:szCs w:val="20"/>
              </w:rPr>
              <w:t>vviamente  tutto ciò  deve essere regolato con norme  finalizzate a garantire la massima trasparenza e chiarezza nei  confronti dell’utenza, prevenendo e censurando ogni forma di pubblicità ingannevole</w:t>
            </w:r>
            <w:r w:rsidRPr="0019217E">
              <w:rPr>
                <w:rFonts w:ascii="Calibri" w:hAnsi="Calibri"/>
                <w:sz w:val="20"/>
                <w:szCs w:val="20"/>
              </w:rPr>
              <w:t>.</w:t>
            </w:r>
          </w:p>
          <w:p w:rsidR="00481F96" w:rsidRPr="00916755" w:rsidRDefault="00481F96" w:rsidP="005C0E2F">
            <w:pPr>
              <w:widowControl/>
              <w:suppressAutoHyphens w:val="0"/>
              <w:rPr>
                <w:rFonts w:ascii="Calibri" w:hAnsi="Calibri"/>
                <w:sz w:val="20"/>
                <w:szCs w:val="20"/>
              </w:rPr>
            </w:pPr>
          </w:p>
          <w:p w:rsidR="00481F96" w:rsidRPr="00916755" w:rsidRDefault="00481F96" w:rsidP="00FF23CC">
            <w:pPr>
              <w:snapToGrid w:val="0"/>
              <w:jc w:val="both"/>
              <w:rPr>
                <w:rFonts w:ascii="Calibri" w:hAnsi="Calibri"/>
                <w:sz w:val="20"/>
                <w:szCs w:val="20"/>
              </w:rPr>
            </w:pPr>
          </w:p>
        </w:tc>
      </w:tr>
    </w:tbl>
    <w:p w:rsidR="00481F96" w:rsidRPr="00916755" w:rsidRDefault="00481F96" w:rsidP="004A322F">
      <w:pPr>
        <w:jc w:val="both"/>
        <w:rPr>
          <w:rFonts w:ascii="Calibri" w:hAnsi="Calibri"/>
          <w:sz w:val="20"/>
          <w:szCs w:val="20"/>
        </w:rPr>
      </w:pPr>
    </w:p>
    <w:p w:rsidR="00481F96" w:rsidRPr="00916755" w:rsidRDefault="00481F96" w:rsidP="004A322F">
      <w:pPr>
        <w:jc w:val="both"/>
        <w:rPr>
          <w:rFonts w:ascii="Calibri" w:hAnsi="Calibri"/>
          <w:sz w:val="20"/>
          <w:szCs w:val="20"/>
        </w:rPr>
      </w:pPr>
    </w:p>
    <w:p w:rsidR="00481F96" w:rsidRPr="00916755" w:rsidRDefault="00481F96" w:rsidP="004A322F">
      <w:pPr>
        <w:jc w:val="both"/>
        <w:rPr>
          <w:rFonts w:ascii="Calibri" w:hAnsi="Calibri"/>
          <w:sz w:val="20"/>
          <w:szCs w:val="20"/>
        </w:rPr>
      </w:pPr>
    </w:p>
    <w:sectPr w:rsidR="00481F96" w:rsidRPr="00916755" w:rsidSect="00884444">
      <w:headerReference w:type="default" r:id="rId7"/>
      <w:pgSz w:w="16838" w:h="11906" w:orient="landscape"/>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F96" w:rsidRDefault="00481F96">
      <w:r>
        <w:separator/>
      </w:r>
    </w:p>
  </w:endnote>
  <w:endnote w:type="continuationSeparator" w:id="0">
    <w:p w:rsidR="00481F96" w:rsidRDefault="00481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una-Roman">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725 BT">
    <w:altName w:val="Century725 BT"/>
    <w:panose1 w:val="00000000000000000000"/>
    <w:charset w:val="00"/>
    <w:family w:val="roman"/>
    <w:notTrueType/>
    <w:pitch w:val="default"/>
    <w:sig w:usb0="00000003" w:usb1="00000000" w:usb2="00000000" w:usb3="00000000" w:csb0="00000001" w:csb1="00000000"/>
  </w:font>
  <w:font w:name="Sauna-Bold">
    <w:panose1 w:val="00000000000000000000"/>
    <w:charset w:val="00"/>
    <w:family w:val="swiss"/>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F96" w:rsidRDefault="00481F96">
      <w:r>
        <w:separator/>
      </w:r>
    </w:p>
  </w:footnote>
  <w:footnote w:type="continuationSeparator" w:id="0">
    <w:p w:rsidR="00481F96" w:rsidRDefault="00481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96" w:rsidRDefault="00481F96" w:rsidP="00F029B9">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8.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04333"/>
    <w:multiLevelType w:val="hybridMultilevel"/>
    <w:tmpl w:val="57783016"/>
    <w:lvl w:ilvl="0" w:tplc="CF70A8F8">
      <w:start w:val="4"/>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09A706C"/>
    <w:multiLevelType w:val="hybridMultilevel"/>
    <w:tmpl w:val="B96849B6"/>
    <w:lvl w:ilvl="0" w:tplc="CF70A8F8">
      <w:start w:val="4"/>
      <w:numFmt w:val="bullet"/>
      <w:lvlText w:val="-"/>
      <w:lvlJc w:val="left"/>
      <w:pPr>
        <w:ind w:left="765" w:hanging="360"/>
      </w:pPr>
      <w:rPr>
        <w:rFonts w:ascii="Times New Roman" w:eastAsia="Arial Unicode MS" w:hAnsi="Times New Roman"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nsid w:val="269F5328"/>
    <w:multiLevelType w:val="hybridMultilevel"/>
    <w:tmpl w:val="F7D8B124"/>
    <w:lvl w:ilvl="0" w:tplc="05527D00">
      <w:start w:val="4"/>
      <w:numFmt w:val="bullet"/>
      <w:lvlText w:val="-"/>
      <w:lvlJc w:val="left"/>
      <w:pPr>
        <w:ind w:left="720" w:hanging="360"/>
      </w:pPr>
      <w:rPr>
        <w:rFonts w:ascii="Sauna-Roman" w:eastAsia="Times New Roman" w:hAnsi="Sauna-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6296E7A"/>
    <w:multiLevelType w:val="hybridMultilevel"/>
    <w:tmpl w:val="86A0108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7520B6F"/>
    <w:multiLevelType w:val="hybridMultilevel"/>
    <w:tmpl w:val="B9128198"/>
    <w:lvl w:ilvl="0" w:tplc="CF70A8F8">
      <w:start w:val="4"/>
      <w:numFmt w:val="bullet"/>
      <w:lvlText w:val="-"/>
      <w:lvlJc w:val="left"/>
      <w:pPr>
        <w:ind w:left="720" w:hanging="360"/>
      </w:pPr>
      <w:rPr>
        <w:rFonts w:ascii="Times New Roman" w:eastAsia="Arial Unicode MS"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87779B"/>
    <w:multiLevelType w:val="hybridMultilevel"/>
    <w:tmpl w:val="C43CC420"/>
    <w:lvl w:ilvl="0" w:tplc="B7CEC7FC">
      <w:numFmt w:val="bullet"/>
      <w:lvlText w:val=""/>
      <w:lvlJc w:val="left"/>
      <w:pPr>
        <w:ind w:left="720" w:hanging="360"/>
      </w:pPr>
      <w:rPr>
        <w:rFonts w:ascii="Georgia" w:eastAsia="Times New Roman" w:hAnsi="Georg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2F658D"/>
    <w:multiLevelType w:val="hybridMultilevel"/>
    <w:tmpl w:val="AAB8CF4A"/>
    <w:lvl w:ilvl="0" w:tplc="04100011">
      <w:start w:val="1"/>
      <w:numFmt w:val="decimal"/>
      <w:lvlText w:val="%1)"/>
      <w:lvlJc w:val="left"/>
      <w:pPr>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7">
    <w:nsid w:val="4DBC681A"/>
    <w:multiLevelType w:val="hybridMultilevel"/>
    <w:tmpl w:val="0ABAD7E4"/>
    <w:lvl w:ilvl="0" w:tplc="CF70A8F8">
      <w:start w:val="4"/>
      <w:numFmt w:val="bullet"/>
      <w:lvlText w:val="-"/>
      <w:lvlJc w:val="left"/>
      <w:pPr>
        <w:ind w:left="765" w:hanging="360"/>
      </w:pPr>
      <w:rPr>
        <w:rFonts w:ascii="Times New Roman" w:eastAsia="Arial Unicode MS" w:hAnsi="Times New Roman"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nsid w:val="5B407DEC"/>
    <w:multiLevelType w:val="hybridMultilevel"/>
    <w:tmpl w:val="E9866BCE"/>
    <w:lvl w:ilvl="0" w:tplc="04100011">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9">
    <w:nsid w:val="5CE16424"/>
    <w:multiLevelType w:val="hybridMultilevel"/>
    <w:tmpl w:val="2EA847D8"/>
    <w:lvl w:ilvl="0" w:tplc="CF70A8F8">
      <w:start w:val="4"/>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15F54C4"/>
    <w:multiLevelType w:val="hybridMultilevel"/>
    <w:tmpl w:val="8BFE2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5D9009F"/>
    <w:multiLevelType w:val="hybridMultilevel"/>
    <w:tmpl w:val="0894693C"/>
    <w:lvl w:ilvl="0" w:tplc="CF70A8F8">
      <w:start w:val="4"/>
      <w:numFmt w:val="bullet"/>
      <w:lvlText w:val="-"/>
      <w:lvlJc w:val="left"/>
      <w:pPr>
        <w:ind w:left="720" w:hanging="360"/>
      </w:pPr>
      <w:rPr>
        <w:rFonts w:ascii="Times New Roman" w:eastAsia="Arial Unicode MS"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70C7761"/>
    <w:multiLevelType w:val="hybridMultilevel"/>
    <w:tmpl w:val="0AC4480A"/>
    <w:lvl w:ilvl="0" w:tplc="F2C62AC8">
      <w:start w:val="14"/>
      <w:numFmt w:val="bullet"/>
      <w:lvlText w:val="-"/>
      <w:lvlJc w:val="left"/>
      <w:pPr>
        <w:ind w:left="720" w:hanging="360"/>
      </w:pPr>
      <w:rPr>
        <w:rFonts w:ascii="Times New Roman" w:eastAsia="Arial Unicode MS" w:hAnsi="Times New Roman" w:hint="default"/>
        <w:b/>
        <w:i/>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0025EE4"/>
    <w:multiLevelType w:val="hybridMultilevel"/>
    <w:tmpl w:val="12EAF0BC"/>
    <w:lvl w:ilvl="0" w:tplc="9ACACDC6">
      <w:start w:val="4"/>
      <w:numFmt w:val="bullet"/>
      <w:lvlText w:val="-"/>
      <w:lvlJc w:val="left"/>
      <w:pPr>
        <w:ind w:left="765" w:hanging="360"/>
      </w:pPr>
      <w:rPr>
        <w:rFonts w:ascii="Times New Roman" w:hAnsi="Times New Roman"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BA77CB5"/>
    <w:multiLevelType w:val="hybridMultilevel"/>
    <w:tmpl w:val="10722DAC"/>
    <w:lvl w:ilvl="0" w:tplc="B7CEC7FC">
      <w:numFmt w:val="bullet"/>
      <w:lvlText w:val=""/>
      <w:lvlJc w:val="left"/>
      <w:pPr>
        <w:ind w:left="720" w:hanging="360"/>
      </w:pPr>
      <w:rPr>
        <w:rFonts w:ascii="Georgia" w:eastAsia="Times New Roman" w:hAnsi="Georg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A808F5"/>
    <w:multiLevelType w:val="hybridMultilevel"/>
    <w:tmpl w:val="DA883028"/>
    <w:lvl w:ilvl="0" w:tplc="4F80614A">
      <w:start w:val="4"/>
      <w:numFmt w:val="bullet"/>
      <w:lvlText w:val="-"/>
      <w:lvlJc w:val="left"/>
      <w:pPr>
        <w:ind w:left="720" w:hanging="360"/>
      </w:pPr>
      <w:rPr>
        <w:rFonts w:ascii="Sauna-Roman" w:eastAsia="Times New Roman" w:hAnsi="Sauna-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4"/>
  </w:num>
  <w:num w:numId="4">
    <w:abstractNumId w:val="11"/>
  </w:num>
  <w:num w:numId="5">
    <w:abstractNumId w:val="5"/>
  </w:num>
  <w:num w:numId="6">
    <w:abstractNumId w:val="14"/>
  </w:num>
  <w:num w:numId="7">
    <w:abstractNumId w:val="3"/>
  </w:num>
  <w:num w:numId="8">
    <w:abstractNumId w:val="12"/>
  </w:num>
  <w:num w:numId="9">
    <w:abstractNumId w:val="8"/>
  </w:num>
  <w:num w:numId="10">
    <w:abstractNumId w:val="10"/>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
  </w:num>
  <w:num w:numId="16">
    <w:abstractNumId w:val="7"/>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7871"/>
    <w:rsid w:val="00007E2D"/>
    <w:rsid w:val="00025945"/>
    <w:rsid w:val="0008182F"/>
    <w:rsid w:val="00085F28"/>
    <w:rsid w:val="001002DB"/>
    <w:rsid w:val="00150EFC"/>
    <w:rsid w:val="0015729B"/>
    <w:rsid w:val="0019217E"/>
    <w:rsid w:val="001A3E9C"/>
    <w:rsid w:val="001C32B9"/>
    <w:rsid w:val="001E78E3"/>
    <w:rsid w:val="00212900"/>
    <w:rsid w:val="002C0EBF"/>
    <w:rsid w:val="002D7311"/>
    <w:rsid w:val="00343BFB"/>
    <w:rsid w:val="0037753C"/>
    <w:rsid w:val="003C28F5"/>
    <w:rsid w:val="003F7913"/>
    <w:rsid w:val="00414F82"/>
    <w:rsid w:val="004431E0"/>
    <w:rsid w:val="0045405D"/>
    <w:rsid w:val="00460BB1"/>
    <w:rsid w:val="00461DA9"/>
    <w:rsid w:val="00481F96"/>
    <w:rsid w:val="004A322F"/>
    <w:rsid w:val="004B02C0"/>
    <w:rsid w:val="00587871"/>
    <w:rsid w:val="005C0E2F"/>
    <w:rsid w:val="005C3BC7"/>
    <w:rsid w:val="005C5687"/>
    <w:rsid w:val="005D1289"/>
    <w:rsid w:val="00607F97"/>
    <w:rsid w:val="0062344C"/>
    <w:rsid w:val="00643D96"/>
    <w:rsid w:val="0064669E"/>
    <w:rsid w:val="00653CB5"/>
    <w:rsid w:val="00671B24"/>
    <w:rsid w:val="00686D83"/>
    <w:rsid w:val="006E4CB2"/>
    <w:rsid w:val="0071390A"/>
    <w:rsid w:val="00884444"/>
    <w:rsid w:val="008B1F23"/>
    <w:rsid w:val="008E66A8"/>
    <w:rsid w:val="00916755"/>
    <w:rsid w:val="00933279"/>
    <w:rsid w:val="00944577"/>
    <w:rsid w:val="0099103F"/>
    <w:rsid w:val="009973B5"/>
    <w:rsid w:val="009E22B4"/>
    <w:rsid w:val="00A46228"/>
    <w:rsid w:val="00A46E95"/>
    <w:rsid w:val="00AD105A"/>
    <w:rsid w:val="00B76178"/>
    <w:rsid w:val="00B84CC0"/>
    <w:rsid w:val="00C022BC"/>
    <w:rsid w:val="00C50B67"/>
    <w:rsid w:val="00C752B7"/>
    <w:rsid w:val="00C93679"/>
    <w:rsid w:val="00CC4839"/>
    <w:rsid w:val="00D30EEE"/>
    <w:rsid w:val="00D35D3C"/>
    <w:rsid w:val="00D93B83"/>
    <w:rsid w:val="00E511CA"/>
    <w:rsid w:val="00E97D67"/>
    <w:rsid w:val="00EC02D4"/>
    <w:rsid w:val="00EC2232"/>
    <w:rsid w:val="00ED2255"/>
    <w:rsid w:val="00ED4938"/>
    <w:rsid w:val="00EE19ED"/>
    <w:rsid w:val="00F029B9"/>
    <w:rsid w:val="00FB7211"/>
    <w:rsid w:val="00FD4585"/>
    <w:rsid w:val="00FF23C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71"/>
    <w:pPr>
      <w:widowControl w:val="0"/>
      <w:suppressAutoHyphens/>
    </w:pPr>
    <w:rPr>
      <w:rFonts w:ascii="Times New Roman" w:eastAsia="Arial Unicode MS" w:hAnsi="Times New Roman"/>
      <w:kern w:val="1"/>
      <w:sz w:val="24"/>
      <w:szCs w:val="24"/>
      <w:lang w:eastAsia="en-US"/>
    </w:rPr>
  </w:style>
  <w:style w:type="paragraph" w:styleId="Heading1">
    <w:name w:val="heading 1"/>
    <w:basedOn w:val="Normal"/>
    <w:link w:val="Heading1Char"/>
    <w:uiPriority w:val="99"/>
    <w:qFormat/>
    <w:rsid w:val="002C0EBF"/>
    <w:pPr>
      <w:widowControl/>
      <w:suppressAutoHyphens w:val="0"/>
      <w:spacing w:before="100" w:beforeAutospacing="1" w:after="100" w:afterAutospacing="1"/>
      <w:outlineLvl w:val="0"/>
    </w:pPr>
    <w:rPr>
      <w:rFonts w:eastAsia="Times New Roman"/>
      <w:b/>
      <w:bCs/>
      <w:kern w:val="36"/>
      <w:sz w:val="48"/>
      <w:szCs w:val="48"/>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0EBF"/>
    <w:rPr>
      <w:rFonts w:ascii="Times New Roman" w:hAnsi="Times New Roman" w:cs="Times New Roman"/>
      <w:b/>
      <w:bCs/>
      <w:kern w:val="36"/>
      <w:sz w:val="48"/>
      <w:szCs w:val="48"/>
      <w:lang w:eastAsia="it-IT"/>
    </w:rPr>
  </w:style>
  <w:style w:type="paragraph" w:styleId="ListParagraph">
    <w:name w:val="List Paragraph"/>
    <w:basedOn w:val="Normal"/>
    <w:uiPriority w:val="99"/>
    <w:qFormat/>
    <w:rsid w:val="005C3BC7"/>
    <w:pPr>
      <w:ind w:left="720"/>
      <w:contextualSpacing/>
    </w:pPr>
  </w:style>
  <w:style w:type="paragraph" w:customStyle="1" w:styleId="Default">
    <w:name w:val="Default"/>
    <w:uiPriority w:val="99"/>
    <w:rsid w:val="00C022BC"/>
    <w:pPr>
      <w:autoSpaceDE w:val="0"/>
      <w:autoSpaceDN w:val="0"/>
      <w:adjustRightInd w:val="0"/>
    </w:pPr>
    <w:rPr>
      <w:rFonts w:ascii="Georgia" w:hAnsi="Georgia" w:cs="Georgia"/>
      <w:color w:val="000000"/>
      <w:sz w:val="24"/>
      <w:szCs w:val="24"/>
      <w:lang w:eastAsia="en-US"/>
    </w:rPr>
  </w:style>
  <w:style w:type="paragraph" w:customStyle="1" w:styleId="Pa3">
    <w:name w:val="Pa3"/>
    <w:basedOn w:val="Default"/>
    <w:next w:val="Default"/>
    <w:uiPriority w:val="99"/>
    <w:rsid w:val="00B84CC0"/>
    <w:pPr>
      <w:spacing w:line="481" w:lineRule="atLeast"/>
    </w:pPr>
    <w:rPr>
      <w:rFonts w:ascii="Century725 BT" w:hAnsi="Century725 BT" w:cs="Times New Roman"/>
      <w:color w:val="auto"/>
    </w:rPr>
  </w:style>
  <w:style w:type="paragraph" w:customStyle="1" w:styleId="Pa0">
    <w:name w:val="Pa0"/>
    <w:basedOn w:val="Default"/>
    <w:next w:val="Default"/>
    <w:uiPriority w:val="99"/>
    <w:rsid w:val="00B84CC0"/>
    <w:pPr>
      <w:spacing w:line="241" w:lineRule="atLeast"/>
    </w:pPr>
    <w:rPr>
      <w:rFonts w:ascii="Century725 BT" w:hAnsi="Century725 BT" w:cs="Times New Roman"/>
      <w:color w:val="auto"/>
    </w:rPr>
  </w:style>
  <w:style w:type="paragraph" w:styleId="NormalWeb">
    <w:name w:val="Normal (Web)"/>
    <w:basedOn w:val="Normal"/>
    <w:uiPriority w:val="99"/>
    <w:rsid w:val="00C50B67"/>
    <w:pPr>
      <w:widowControl/>
      <w:suppressAutoHyphens w:val="0"/>
      <w:spacing w:before="100" w:beforeAutospacing="1" w:after="100" w:afterAutospacing="1"/>
    </w:pPr>
    <w:rPr>
      <w:rFonts w:eastAsia="Times New Roman"/>
      <w:kern w:val="0"/>
      <w:lang w:eastAsia="it-IT"/>
    </w:rPr>
  </w:style>
  <w:style w:type="character" w:styleId="Emphasis">
    <w:name w:val="Emphasis"/>
    <w:basedOn w:val="DefaultParagraphFont"/>
    <w:uiPriority w:val="99"/>
    <w:qFormat/>
    <w:rsid w:val="00C50B67"/>
    <w:rPr>
      <w:rFonts w:cs="Times New Roman"/>
      <w:i/>
      <w:iCs/>
    </w:rPr>
  </w:style>
  <w:style w:type="character" w:styleId="Strong">
    <w:name w:val="Strong"/>
    <w:basedOn w:val="DefaultParagraphFont"/>
    <w:uiPriority w:val="99"/>
    <w:qFormat/>
    <w:rsid w:val="00E511CA"/>
    <w:rPr>
      <w:rFonts w:cs="Times New Roman"/>
      <w:b/>
      <w:bCs/>
    </w:rPr>
  </w:style>
  <w:style w:type="paragraph" w:styleId="Header">
    <w:name w:val="header"/>
    <w:basedOn w:val="Normal"/>
    <w:link w:val="HeaderChar"/>
    <w:uiPriority w:val="99"/>
    <w:rsid w:val="00F029B9"/>
    <w:pPr>
      <w:tabs>
        <w:tab w:val="center" w:pos="4819"/>
        <w:tab w:val="right" w:pos="9638"/>
      </w:tabs>
    </w:pPr>
  </w:style>
  <w:style w:type="character" w:customStyle="1" w:styleId="HeaderChar">
    <w:name w:val="Header Char"/>
    <w:basedOn w:val="DefaultParagraphFont"/>
    <w:link w:val="Header"/>
    <w:uiPriority w:val="99"/>
    <w:semiHidden/>
    <w:rsid w:val="008B4FB1"/>
    <w:rPr>
      <w:rFonts w:ascii="Times New Roman" w:eastAsia="Arial Unicode MS" w:hAnsi="Times New Roman"/>
      <w:kern w:val="1"/>
      <w:sz w:val="24"/>
      <w:szCs w:val="24"/>
      <w:lang w:eastAsia="en-US"/>
    </w:rPr>
  </w:style>
  <w:style w:type="paragraph" w:styleId="Footer">
    <w:name w:val="footer"/>
    <w:basedOn w:val="Normal"/>
    <w:link w:val="FooterChar"/>
    <w:uiPriority w:val="99"/>
    <w:rsid w:val="00F029B9"/>
    <w:pPr>
      <w:tabs>
        <w:tab w:val="center" w:pos="4819"/>
        <w:tab w:val="right" w:pos="9638"/>
      </w:tabs>
    </w:pPr>
  </w:style>
  <w:style w:type="character" w:customStyle="1" w:styleId="FooterChar">
    <w:name w:val="Footer Char"/>
    <w:basedOn w:val="DefaultParagraphFont"/>
    <w:link w:val="Footer"/>
    <w:uiPriority w:val="99"/>
    <w:semiHidden/>
    <w:rsid w:val="008B4FB1"/>
    <w:rPr>
      <w:rFonts w:ascii="Times New Roman" w:eastAsia="Arial Unicode MS" w:hAnsi="Times New Roman"/>
      <w:kern w:val="1"/>
      <w:sz w:val="24"/>
      <w:szCs w:val="24"/>
      <w:lang w:eastAsia="en-US"/>
    </w:rPr>
  </w:style>
</w:styles>
</file>

<file path=word/webSettings.xml><?xml version="1.0" encoding="utf-8"?>
<w:webSettings xmlns:r="http://schemas.openxmlformats.org/officeDocument/2006/relationships" xmlns:w="http://schemas.openxmlformats.org/wordprocessingml/2006/main">
  <w:divs>
    <w:div w:id="1848204398">
      <w:marLeft w:val="0"/>
      <w:marRight w:val="0"/>
      <w:marTop w:val="0"/>
      <w:marBottom w:val="0"/>
      <w:divBdr>
        <w:top w:val="none" w:sz="0" w:space="0" w:color="auto"/>
        <w:left w:val="none" w:sz="0" w:space="0" w:color="auto"/>
        <w:bottom w:val="none" w:sz="0" w:space="0" w:color="auto"/>
        <w:right w:val="none" w:sz="0" w:space="0" w:color="auto"/>
      </w:divBdr>
    </w:div>
    <w:div w:id="1848204400">
      <w:marLeft w:val="0"/>
      <w:marRight w:val="0"/>
      <w:marTop w:val="0"/>
      <w:marBottom w:val="0"/>
      <w:divBdr>
        <w:top w:val="none" w:sz="0" w:space="0" w:color="auto"/>
        <w:left w:val="none" w:sz="0" w:space="0" w:color="auto"/>
        <w:bottom w:val="none" w:sz="0" w:space="0" w:color="auto"/>
        <w:right w:val="none" w:sz="0" w:space="0" w:color="auto"/>
      </w:divBdr>
    </w:div>
    <w:div w:id="1848204401">
      <w:marLeft w:val="0"/>
      <w:marRight w:val="0"/>
      <w:marTop w:val="0"/>
      <w:marBottom w:val="0"/>
      <w:divBdr>
        <w:top w:val="none" w:sz="0" w:space="0" w:color="auto"/>
        <w:left w:val="none" w:sz="0" w:space="0" w:color="auto"/>
        <w:bottom w:val="none" w:sz="0" w:space="0" w:color="auto"/>
        <w:right w:val="none" w:sz="0" w:space="0" w:color="auto"/>
      </w:divBdr>
    </w:div>
    <w:div w:id="1848204402">
      <w:marLeft w:val="0"/>
      <w:marRight w:val="0"/>
      <w:marTop w:val="0"/>
      <w:marBottom w:val="0"/>
      <w:divBdr>
        <w:top w:val="none" w:sz="0" w:space="0" w:color="auto"/>
        <w:left w:val="none" w:sz="0" w:space="0" w:color="auto"/>
        <w:bottom w:val="none" w:sz="0" w:space="0" w:color="auto"/>
        <w:right w:val="none" w:sz="0" w:space="0" w:color="auto"/>
      </w:divBdr>
      <w:divsChild>
        <w:div w:id="1848204399">
          <w:marLeft w:val="0"/>
          <w:marRight w:val="0"/>
          <w:marTop w:val="0"/>
          <w:marBottom w:val="0"/>
          <w:divBdr>
            <w:top w:val="none" w:sz="0" w:space="0" w:color="auto"/>
            <w:left w:val="none" w:sz="0" w:space="0" w:color="auto"/>
            <w:bottom w:val="none" w:sz="0" w:space="0" w:color="auto"/>
            <w:right w:val="none" w:sz="0" w:space="0" w:color="auto"/>
          </w:divBdr>
        </w:div>
      </w:divsChild>
    </w:div>
    <w:div w:id="1848204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4</Pages>
  <Words>1646</Words>
  <Characters>9383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direttore</dc:creator>
  <cp:keywords/>
  <dc:description/>
  <cp:lastModifiedBy>Ufficio Studi</cp:lastModifiedBy>
  <cp:revision>32</cp:revision>
  <dcterms:created xsi:type="dcterms:W3CDTF">2014-11-07T08:28:00Z</dcterms:created>
  <dcterms:modified xsi:type="dcterms:W3CDTF">2014-11-13T19:57:00Z</dcterms:modified>
</cp:coreProperties>
</file>