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5E" w:rsidRPr="00C11566" w:rsidRDefault="0011355E" w:rsidP="00047304">
      <w:pPr>
        <w:pStyle w:val="Titolo1"/>
        <w:ind w:firstLine="708"/>
        <w:rPr>
          <w:rFonts w:ascii="Times New Roman" w:hAnsi="Times New Roman"/>
          <w:sz w:val="24"/>
          <w:szCs w:val="24"/>
        </w:rPr>
      </w:pPr>
      <w:r w:rsidRPr="00C11566">
        <w:rPr>
          <w:rFonts w:ascii="Times New Roman" w:hAnsi="Times New Roman"/>
          <w:sz w:val="24"/>
          <w:szCs w:val="24"/>
        </w:rPr>
        <w:t xml:space="preserve">B – </w:t>
      </w:r>
      <w:bookmarkStart w:id="0" w:name="_Toc391563142"/>
      <w:r w:rsidRPr="00C11566">
        <w:rPr>
          <w:rFonts w:ascii="Times New Roman" w:hAnsi="Times New Roman"/>
          <w:sz w:val="24"/>
          <w:szCs w:val="24"/>
        </w:rPr>
        <w:t>Approfondimenti su alcune specificità dell’offerta formativa</w:t>
      </w:r>
      <w:bookmarkEnd w:id="0"/>
      <w:r w:rsidRPr="00C11566">
        <w:rPr>
          <w:rFonts w:ascii="Times New Roman" w:hAnsi="Times New Roman"/>
          <w:sz w:val="24"/>
          <w:szCs w:val="24"/>
        </w:rPr>
        <w:t xml:space="preserve"> </w:t>
      </w:r>
    </w:p>
    <w:p w:rsidR="0011355E" w:rsidRPr="00C11566" w:rsidRDefault="0011355E" w:rsidP="005A5B94">
      <w:pPr>
        <w:pStyle w:val="Titolo1"/>
        <w:rPr>
          <w:rFonts w:ascii="Times New Roman" w:hAnsi="Times New Roman"/>
          <w:sz w:val="24"/>
        </w:rPr>
      </w:pPr>
      <w:r w:rsidRPr="00C11566">
        <w:rPr>
          <w:rFonts w:ascii="Times New Roman" w:hAnsi="Times New Roman"/>
          <w:sz w:val="24"/>
        </w:rPr>
        <w:t>FACT SHEET 11</w:t>
      </w:r>
    </w:p>
    <w:p w:rsidR="0011355E" w:rsidRDefault="0011355E" w:rsidP="005A5B94">
      <w:pPr>
        <w:pStyle w:val="Titolo1"/>
        <w:rPr>
          <w:rFonts w:ascii="Times New Roman" w:hAnsi="Times New Roman"/>
          <w:sz w:val="24"/>
        </w:rPr>
      </w:pPr>
    </w:p>
    <w:p w:rsidR="0011355E" w:rsidRDefault="0011355E" w:rsidP="005A5B94">
      <w:pPr>
        <w:pStyle w:val="Testonormale"/>
        <w:rPr>
          <w:rFonts w:ascii="Times New Roman" w:hAnsi="Times New Roman" w:cs="Times New Roman"/>
          <w:sz w:val="24"/>
          <w:szCs w:val="24"/>
        </w:rPr>
      </w:pPr>
      <w:r>
        <w:rPr>
          <w:rFonts w:ascii="Times New Roman" w:hAnsi="Times New Roman" w:cs="Times New Roman"/>
          <w:sz w:val="24"/>
          <w:szCs w:val="24"/>
        </w:rPr>
        <w:t>Negli ordinamenti scolastici vi sono anche offerte formative particolari, destinate ad una utenza che, per motivi diversi, non può frequentare le classi normali, sia in modo permanente sia per periodi di tempo definiti.</w:t>
      </w:r>
    </w:p>
    <w:p w:rsidR="0011355E" w:rsidRDefault="0011355E" w:rsidP="005A5B94">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La prima tipologia di scuola in contesti speciali è la </w:t>
      </w:r>
      <w:r>
        <w:rPr>
          <w:rFonts w:ascii="Times New Roman" w:hAnsi="Times New Roman" w:cs="Times New Roman"/>
          <w:i/>
          <w:sz w:val="24"/>
          <w:szCs w:val="24"/>
        </w:rPr>
        <w:t>scuola ospedaliera</w:t>
      </w:r>
      <w:r>
        <w:rPr>
          <w:rFonts w:ascii="Times New Roman" w:hAnsi="Times New Roman" w:cs="Times New Roman"/>
          <w:sz w:val="24"/>
          <w:szCs w:val="24"/>
        </w:rPr>
        <w:t xml:space="preserve"> (VEDI FACT SHEET N.11_2) Si tratta di sezioni che funzionano in alcuni ospedali universitari, nelle province di Bologna, Ferrara, Modena e Parma.</w:t>
      </w:r>
    </w:p>
    <w:p w:rsidR="0011355E" w:rsidRDefault="0011355E" w:rsidP="005A5B94">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Anche nelle </w:t>
      </w:r>
      <w:r>
        <w:rPr>
          <w:rFonts w:ascii="Times New Roman" w:hAnsi="Times New Roman" w:cs="Times New Roman"/>
          <w:i/>
          <w:sz w:val="24"/>
          <w:szCs w:val="24"/>
        </w:rPr>
        <w:t>carceri</w:t>
      </w:r>
      <w:r>
        <w:rPr>
          <w:rFonts w:ascii="Times New Roman" w:hAnsi="Times New Roman" w:cs="Times New Roman"/>
          <w:sz w:val="24"/>
          <w:szCs w:val="24"/>
        </w:rPr>
        <w:t xml:space="preserve"> vi sono sezioni </w:t>
      </w:r>
      <w:r w:rsidRPr="00356A9B">
        <w:rPr>
          <w:rFonts w:ascii="Times New Roman" w:hAnsi="Times New Roman" w:cs="Times New Roman"/>
          <w:sz w:val="24"/>
          <w:szCs w:val="24"/>
        </w:rPr>
        <w:t>scolastiche (VEDI FACT SHEET N. 11_</w:t>
      </w:r>
      <w:r>
        <w:rPr>
          <w:rFonts w:ascii="Times New Roman" w:hAnsi="Times New Roman" w:cs="Times New Roman"/>
          <w:sz w:val="24"/>
          <w:szCs w:val="24"/>
        </w:rPr>
        <w:t>3</w:t>
      </w:r>
      <w:r w:rsidRPr="00356A9B">
        <w:rPr>
          <w:rFonts w:ascii="Times New Roman" w:hAnsi="Times New Roman" w:cs="Times New Roman"/>
          <w:sz w:val="24"/>
          <w:szCs w:val="24"/>
        </w:rPr>
        <w:t>), destinate a consentire il recupero scolastico ai detenuti.</w:t>
      </w:r>
      <w:r>
        <w:rPr>
          <w:rFonts w:ascii="Times New Roman" w:hAnsi="Times New Roman" w:cs="Times New Roman"/>
          <w:sz w:val="24"/>
          <w:szCs w:val="24"/>
        </w:rPr>
        <w:t xml:space="preserve"> </w:t>
      </w:r>
    </w:p>
    <w:p w:rsidR="0011355E" w:rsidRDefault="0011355E" w:rsidP="005A5B94">
      <w:pPr>
        <w:pStyle w:val="Testonormale"/>
        <w:jc w:val="both"/>
        <w:rPr>
          <w:rFonts w:ascii="Times New Roman" w:hAnsi="Times New Roman" w:cs="Times New Roman"/>
          <w:sz w:val="24"/>
          <w:szCs w:val="24"/>
        </w:rPr>
      </w:pPr>
      <w:r>
        <w:rPr>
          <w:rFonts w:ascii="Times New Roman" w:hAnsi="Times New Roman" w:cs="Times New Roman"/>
          <w:sz w:val="24"/>
          <w:szCs w:val="24"/>
        </w:rPr>
        <w:t>I Centri Territoriali Permanenti (che in base alla legge n.296/</w:t>
      </w:r>
      <w:r w:rsidRPr="00EA673D">
        <w:rPr>
          <w:rFonts w:ascii="Times New Roman" w:hAnsi="Times New Roman" w:cs="Times New Roman"/>
          <w:sz w:val="24"/>
          <w:szCs w:val="24"/>
        </w:rPr>
        <w:t xml:space="preserve">2006 – Legge finanziaria stanno diventando Centri Provinciali per l’Istruzione degli Adulti VEDI FACT SHEET N. </w:t>
      </w:r>
      <w:r>
        <w:rPr>
          <w:rFonts w:ascii="Times New Roman" w:hAnsi="Times New Roman" w:cs="Times New Roman"/>
          <w:sz w:val="24"/>
          <w:szCs w:val="24"/>
        </w:rPr>
        <w:t>11.5) sono sezioni per adulti che non hanno ottenuto il diploma della scuola secondaria di I grado, privi di alfabetizzazione funzionale e per l’alfabetizzazione in lingua italiana degli immigrati ai sensi D.P.R. 179.</w:t>
      </w:r>
    </w:p>
    <w:p w:rsidR="0011355E" w:rsidRDefault="0011355E" w:rsidP="005A5B94">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Corsi Serali</w:t>
      </w:r>
      <w:r>
        <w:rPr>
          <w:rFonts w:ascii="Times New Roman" w:hAnsi="Times New Roman" w:cs="Times New Roman"/>
          <w:sz w:val="24"/>
          <w:szCs w:val="24"/>
        </w:rPr>
        <w:t xml:space="preserve"> sono destinati agli adulti lavoratori che intendono acquisire un diploma di scuola secondaria di II grado (</w:t>
      </w:r>
      <w:r w:rsidRPr="00EA673D">
        <w:rPr>
          <w:rFonts w:ascii="Times New Roman" w:hAnsi="Times New Roman" w:cs="Times New Roman"/>
          <w:sz w:val="24"/>
          <w:szCs w:val="24"/>
        </w:rPr>
        <w:t xml:space="preserve">VEDI FACT SHEET N. </w:t>
      </w:r>
      <w:r>
        <w:rPr>
          <w:rFonts w:ascii="Times New Roman" w:hAnsi="Times New Roman" w:cs="Times New Roman"/>
          <w:sz w:val="24"/>
          <w:szCs w:val="24"/>
        </w:rPr>
        <w:t>11.6).</w:t>
      </w:r>
    </w:p>
    <w:p w:rsidR="0011355E" w:rsidRDefault="0011355E" w:rsidP="005A5B94">
      <w:pPr>
        <w:pStyle w:val="Testonormale"/>
        <w:jc w:val="both"/>
        <w:rPr>
          <w:rFonts w:ascii="Times New Roman" w:hAnsi="Times New Roman" w:cs="Times New Roman"/>
          <w:color w:val="FF0000"/>
          <w:sz w:val="24"/>
          <w:szCs w:val="24"/>
        </w:rPr>
      </w:pPr>
      <w:bookmarkStart w:id="1" w:name="_GoBack"/>
      <w:bookmarkEnd w:id="1"/>
    </w:p>
    <w:p w:rsidR="0011355E" w:rsidRDefault="0011355E" w:rsidP="005A5B94">
      <w:pPr>
        <w:pStyle w:val="Testonormale"/>
        <w:rPr>
          <w:rFonts w:ascii="Times New Roman" w:hAnsi="Times New Roman" w:cs="Times New Roman"/>
          <w:sz w:val="24"/>
          <w:szCs w:val="24"/>
        </w:rPr>
      </w:pPr>
    </w:p>
    <w:p w:rsidR="0011355E" w:rsidRDefault="0011355E" w:rsidP="005A5B94">
      <w:pPr>
        <w:pStyle w:val="Testonormale"/>
        <w:rPr>
          <w:rFonts w:ascii="Times New Roman" w:hAnsi="Times New Roman" w:cs="Times New Roman"/>
          <w:i/>
          <w:sz w:val="22"/>
          <w:szCs w:val="22"/>
        </w:rPr>
      </w:pPr>
      <w:r>
        <w:rPr>
          <w:rFonts w:ascii="Times New Roman" w:hAnsi="Times New Roman" w:cs="Times New Roman"/>
          <w:i/>
          <w:sz w:val="22"/>
          <w:szCs w:val="22"/>
        </w:rPr>
        <w:t>Punti di erogazione ‘speciali’ per tipologia, A.s. 2013/14</w:t>
      </w:r>
    </w:p>
    <w:p w:rsidR="0011355E" w:rsidRDefault="0011355E" w:rsidP="005A5B94">
      <w:pPr>
        <w:pStyle w:val="Testonormale"/>
        <w:rPr>
          <w:rFonts w:ascii="Times New Roman" w:hAnsi="Times New Roman" w:cs="Times New Roman"/>
          <w:i/>
          <w:sz w:val="22"/>
          <w:szCs w:val="22"/>
        </w:rPr>
      </w:pPr>
    </w:p>
    <w:p w:rsidR="0011355E" w:rsidRDefault="0011355E" w:rsidP="005A5B94">
      <w:pPr>
        <w:pStyle w:val="Testonormale"/>
        <w:rPr>
          <w:rFonts w:ascii="Times New Roman" w:hAnsi="Times New Roman" w:cs="Times New Roman"/>
          <w:i/>
          <w:sz w:val="22"/>
          <w:szCs w:val="22"/>
        </w:rPr>
      </w:pPr>
    </w:p>
    <w:tbl>
      <w:tblPr>
        <w:tblW w:w="4120" w:type="pct"/>
        <w:tblCellMar>
          <w:left w:w="70" w:type="dxa"/>
          <w:right w:w="70" w:type="dxa"/>
        </w:tblCellMar>
        <w:tblLook w:val="00A0" w:firstRow="1" w:lastRow="0" w:firstColumn="1" w:lastColumn="0" w:noHBand="0" w:noVBand="0"/>
      </w:tblPr>
      <w:tblGrid>
        <w:gridCol w:w="1558"/>
        <w:gridCol w:w="1787"/>
        <w:gridCol w:w="1787"/>
        <w:gridCol w:w="1204"/>
        <w:gridCol w:w="1721"/>
      </w:tblGrid>
      <w:tr w:rsidR="009F0B29" w:rsidTr="009F0B29">
        <w:trPr>
          <w:trHeight w:val="615"/>
        </w:trPr>
        <w:tc>
          <w:tcPr>
            <w:tcW w:w="967" w:type="pct"/>
            <w:tcBorders>
              <w:top w:val="single" w:sz="4" w:space="0" w:color="auto"/>
              <w:left w:val="nil"/>
              <w:bottom w:val="single" w:sz="8" w:space="0" w:color="auto"/>
              <w:right w:val="single" w:sz="4" w:space="0" w:color="auto"/>
            </w:tcBorders>
            <w:noWrap/>
            <w:vAlign w:val="center"/>
          </w:tcPr>
          <w:p w:rsidR="009F0B29" w:rsidRDefault="009F0B29">
            <w:pPr>
              <w:spacing w:line="256" w:lineRule="auto"/>
              <w:rPr>
                <w:i/>
                <w:color w:val="000000"/>
                <w:lang w:eastAsia="en-US"/>
              </w:rPr>
            </w:pPr>
            <w:r>
              <w:rPr>
                <w:i/>
                <w:color w:val="000000"/>
                <w:sz w:val="22"/>
                <w:szCs w:val="22"/>
                <w:lang w:eastAsia="en-US"/>
              </w:rPr>
              <w:t>Provincia</w:t>
            </w:r>
          </w:p>
        </w:tc>
        <w:tc>
          <w:tcPr>
            <w:tcW w:w="1109" w:type="pct"/>
            <w:tcBorders>
              <w:top w:val="single" w:sz="4" w:space="0" w:color="auto"/>
              <w:left w:val="single" w:sz="4" w:space="0" w:color="auto"/>
              <w:bottom w:val="single" w:sz="4" w:space="0" w:color="auto"/>
            </w:tcBorders>
            <w:vAlign w:val="center"/>
          </w:tcPr>
          <w:p w:rsidR="009F0B29" w:rsidRPr="009F0B29" w:rsidRDefault="009F0B29">
            <w:pPr>
              <w:spacing w:line="256" w:lineRule="auto"/>
              <w:jc w:val="center"/>
              <w:rPr>
                <w:i/>
                <w:lang w:eastAsia="en-US"/>
              </w:rPr>
            </w:pPr>
            <w:r w:rsidRPr="009F0B29">
              <w:rPr>
                <w:i/>
                <w:sz w:val="22"/>
                <w:szCs w:val="22"/>
                <w:lang w:eastAsia="en-US"/>
              </w:rPr>
              <w:t>CTP</w:t>
            </w:r>
          </w:p>
        </w:tc>
        <w:tc>
          <w:tcPr>
            <w:tcW w:w="1109" w:type="pct"/>
            <w:tcBorders>
              <w:top w:val="single" w:sz="4" w:space="0" w:color="auto"/>
              <w:bottom w:val="single" w:sz="4" w:space="0" w:color="auto"/>
            </w:tcBorders>
            <w:vAlign w:val="center"/>
          </w:tcPr>
          <w:p w:rsidR="009F0B29" w:rsidRPr="009C2E16" w:rsidRDefault="009F0B29">
            <w:pPr>
              <w:spacing w:line="256" w:lineRule="auto"/>
              <w:jc w:val="center"/>
              <w:rPr>
                <w:i/>
                <w:lang w:eastAsia="en-US"/>
              </w:rPr>
            </w:pPr>
            <w:r w:rsidRPr="009C2E16">
              <w:rPr>
                <w:i/>
                <w:sz w:val="22"/>
                <w:szCs w:val="22"/>
                <w:lang w:eastAsia="en-US"/>
              </w:rPr>
              <w:t>Ospedaliero</w:t>
            </w:r>
          </w:p>
        </w:tc>
        <w:tc>
          <w:tcPr>
            <w:tcW w:w="747" w:type="pct"/>
            <w:tcBorders>
              <w:top w:val="single" w:sz="4" w:space="0" w:color="auto"/>
              <w:bottom w:val="single" w:sz="4" w:space="0" w:color="auto"/>
            </w:tcBorders>
            <w:vAlign w:val="center"/>
          </w:tcPr>
          <w:p w:rsidR="009F0B29" w:rsidRPr="009F0B29" w:rsidRDefault="009F0B29">
            <w:pPr>
              <w:spacing w:line="256" w:lineRule="auto"/>
              <w:jc w:val="center"/>
              <w:rPr>
                <w:i/>
                <w:lang w:eastAsia="en-US"/>
              </w:rPr>
            </w:pPr>
            <w:r w:rsidRPr="009F0B29">
              <w:rPr>
                <w:i/>
                <w:sz w:val="22"/>
                <w:szCs w:val="22"/>
                <w:lang w:eastAsia="en-US"/>
              </w:rPr>
              <w:t>Serale</w:t>
            </w:r>
          </w:p>
        </w:tc>
        <w:tc>
          <w:tcPr>
            <w:tcW w:w="1068" w:type="pct"/>
            <w:tcBorders>
              <w:top w:val="single" w:sz="4" w:space="0" w:color="auto"/>
              <w:bottom w:val="single" w:sz="4" w:space="0" w:color="auto"/>
              <w:right w:val="single" w:sz="4" w:space="0" w:color="auto"/>
            </w:tcBorders>
            <w:vAlign w:val="center"/>
          </w:tcPr>
          <w:p w:rsidR="009F0B29" w:rsidRPr="009F0B29" w:rsidRDefault="009F0B29">
            <w:pPr>
              <w:spacing w:line="256" w:lineRule="auto"/>
              <w:jc w:val="center"/>
              <w:rPr>
                <w:i/>
                <w:lang w:eastAsia="en-US"/>
              </w:rPr>
            </w:pPr>
            <w:r w:rsidRPr="009F0B29">
              <w:rPr>
                <w:i/>
                <w:sz w:val="22"/>
                <w:szCs w:val="22"/>
                <w:lang w:eastAsia="en-US"/>
              </w:rPr>
              <w:t>Carcerario</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Bologna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8</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1</w:t>
            </w:r>
            <w:r>
              <w:rPr>
                <w:sz w:val="22"/>
                <w:szCs w:val="22"/>
                <w:lang w:eastAsia="en-US"/>
              </w:rPr>
              <w:t>2</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14</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4</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Ferrara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4</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1</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4</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1</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Forlì-Cesena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2</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0</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8</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1</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Modena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7</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2</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9</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3</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Parma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4</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3</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9</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3</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Piacenza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4</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0</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2</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2</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Ravenna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2</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0</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4</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1</w:t>
            </w:r>
          </w:p>
        </w:tc>
      </w:tr>
      <w:tr w:rsidR="009F0B29" w:rsidTr="009F0B29">
        <w:trPr>
          <w:trHeight w:val="300"/>
        </w:trPr>
        <w:tc>
          <w:tcPr>
            <w:tcW w:w="967" w:type="pct"/>
            <w:tcBorders>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Reggio Emilia</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6</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0</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8</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2</w:t>
            </w:r>
          </w:p>
        </w:tc>
      </w:tr>
      <w:tr w:rsidR="009F0B29" w:rsidTr="009F0B29">
        <w:trPr>
          <w:trHeight w:val="315"/>
        </w:trPr>
        <w:tc>
          <w:tcPr>
            <w:tcW w:w="967" w:type="pct"/>
            <w:tcBorders>
              <w:top w:val="nil"/>
              <w:left w:val="nil"/>
              <w:bottom w:val="single" w:sz="8" w:space="0" w:color="auto"/>
              <w:right w:val="single" w:sz="4" w:space="0" w:color="auto"/>
            </w:tcBorders>
            <w:noWrap/>
            <w:vAlign w:val="bottom"/>
          </w:tcPr>
          <w:p w:rsidR="009F0B29" w:rsidRDefault="009F0B29">
            <w:pPr>
              <w:spacing w:line="256" w:lineRule="auto"/>
              <w:rPr>
                <w:color w:val="000000"/>
                <w:lang w:eastAsia="en-US"/>
              </w:rPr>
            </w:pPr>
            <w:r>
              <w:rPr>
                <w:color w:val="000000"/>
                <w:sz w:val="22"/>
                <w:szCs w:val="22"/>
                <w:lang w:eastAsia="en-US"/>
              </w:rPr>
              <w:t>Rimini</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color w:val="000000"/>
                <w:lang w:eastAsia="en-US"/>
              </w:rPr>
            </w:pPr>
            <w:r w:rsidRPr="00FC54B9">
              <w:rPr>
                <w:color w:val="000000"/>
                <w:sz w:val="22"/>
                <w:szCs w:val="22"/>
                <w:lang w:eastAsia="en-US"/>
              </w:rPr>
              <w:t>2</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lang w:eastAsia="en-US"/>
              </w:rPr>
            </w:pPr>
            <w:r w:rsidRPr="009C2E16">
              <w:rPr>
                <w:sz w:val="22"/>
                <w:szCs w:val="22"/>
                <w:lang w:eastAsia="en-US"/>
              </w:rPr>
              <w:t>0</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3</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lang w:eastAsia="en-US"/>
              </w:rPr>
            </w:pPr>
            <w:r w:rsidRPr="003F114E">
              <w:rPr>
                <w:sz w:val="22"/>
                <w:szCs w:val="22"/>
                <w:lang w:eastAsia="en-US"/>
              </w:rPr>
              <w:t>1</w:t>
            </w:r>
          </w:p>
        </w:tc>
      </w:tr>
      <w:tr w:rsidR="009F0B29" w:rsidTr="009F0B29">
        <w:trPr>
          <w:trHeight w:val="300"/>
        </w:trPr>
        <w:tc>
          <w:tcPr>
            <w:tcW w:w="967" w:type="pct"/>
            <w:tcBorders>
              <w:top w:val="single" w:sz="8" w:space="0" w:color="auto"/>
              <w:left w:val="nil"/>
              <w:bottom w:val="single" w:sz="4" w:space="0" w:color="auto"/>
              <w:right w:val="single" w:sz="4" w:space="0" w:color="auto"/>
            </w:tcBorders>
            <w:noWrap/>
            <w:vAlign w:val="bottom"/>
          </w:tcPr>
          <w:p w:rsidR="009F0B29" w:rsidRDefault="009F0B29">
            <w:pPr>
              <w:spacing w:line="256" w:lineRule="auto"/>
              <w:rPr>
                <w:b/>
                <w:iCs/>
                <w:color w:val="000000"/>
                <w:lang w:eastAsia="en-US"/>
              </w:rPr>
            </w:pPr>
            <w:r>
              <w:rPr>
                <w:b/>
                <w:iCs/>
                <w:color w:val="000000"/>
                <w:sz w:val="22"/>
                <w:szCs w:val="22"/>
                <w:lang w:eastAsia="en-US"/>
              </w:rPr>
              <w:t>Totale</w:t>
            </w:r>
          </w:p>
        </w:tc>
        <w:tc>
          <w:tcPr>
            <w:tcW w:w="1109" w:type="pct"/>
            <w:tcBorders>
              <w:top w:val="single" w:sz="4" w:space="0" w:color="auto"/>
              <w:left w:val="single" w:sz="4" w:space="0" w:color="auto"/>
              <w:bottom w:val="single" w:sz="4" w:space="0" w:color="auto"/>
            </w:tcBorders>
            <w:vAlign w:val="bottom"/>
          </w:tcPr>
          <w:p w:rsidR="009F0B29" w:rsidRPr="00FC54B9" w:rsidRDefault="009F0B29" w:rsidP="00AF77C4">
            <w:pPr>
              <w:spacing w:line="256" w:lineRule="auto"/>
              <w:jc w:val="center"/>
              <w:rPr>
                <w:b/>
                <w:color w:val="000000"/>
                <w:lang w:eastAsia="en-US"/>
              </w:rPr>
            </w:pPr>
            <w:r>
              <w:rPr>
                <w:b/>
                <w:color w:val="000000"/>
                <w:sz w:val="22"/>
                <w:szCs w:val="22"/>
                <w:lang w:eastAsia="en-US"/>
              </w:rPr>
              <w:t>39</w:t>
            </w:r>
          </w:p>
        </w:tc>
        <w:tc>
          <w:tcPr>
            <w:tcW w:w="1109" w:type="pct"/>
            <w:tcBorders>
              <w:top w:val="single" w:sz="4" w:space="0" w:color="auto"/>
              <w:bottom w:val="single" w:sz="4" w:space="0" w:color="auto"/>
            </w:tcBorders>
            <w:noWrap/>
            <w:vAlign w:val="bottom"/>
          </w:tcPr>
          <w:p w:rsidR="009F0B29" w:rsidRPr="009C2E16" w:rsidRDefault="009F0B29" w:rsidP="00FC54B9">
            <w:pPr>
              <w:spacing w:line="256" w:lineRule="auto"/>
              <w:jc w:val="center"/>
              <w:rPr>
                <w:b/>
                <w:lang w:eastAsia="en-US"/>
              </w:rPr>
            </w:pPr>
            <w:r w:rsidRPr="009C2E16">
              <w:rPr>
                <w:b/>
                <w:sz w:val="22"/>
                <w:szCs w:val="22"/>
                <w:lang w:eastAsia="en-US"/>
              </w:rPr>
              <w:t>1</w:t>
            </w:r>
            <w:r>
              <w:rPr>
                <w:b/>
                <w:sz w:val="22"/>
                <w:szCs w:val="22"/>
                <w:lang w:eastAsia="en-US"/>
              </w:rPr>
              <w:t>8</w:t>
            </w:r>
          </w:p>
        </w:tc>
        <w:tc>
          <w:tcPr>
            <w:tcW w:w="747" w:type="pct"/>
            <w:tcBorders>
              <w:top w:val="single" w:sz="4" w:space="0" w:color="auto"/>
              <w:bottom w:val="single" w:sz="4" w:space="0" w:color="auto"/>
            </w:tcBorders>
            <w:noWrap/>
            <w:vAlign w:val="bottom"/>
          </w:tcPr>
          <w:p w:rsidR="009F0B29" w:rsidRPr="003F114E" w:rsidRDefault="009F0B29" w:rsidP="00AF77C4">
            <w:pPr>
              <w:spacing w:line="256" w:lineRule="auto"/>
              <w:jc w:val="center"/>
              <w:rPr>
                <w:b/>
                <w:lang w:eastAsia="en-US"/>
              </w:rPr>
            </w:pPr>
            <w:r w:rsidRPr="003F114E">
              <w:rPr>
                <w:b/>
                <w:sz w:val="22"/>
                <w:szCs w:val="22"/>
                <w:lang w:eastAsia="en-US"/>
              </w:rPr>
              <w:t>61</w:t>
            </w:r>
          </w:p>
        </w:tc>
        <w:tc>
          <w:tcPr>
            <w:tcW w:w="1068" w:type="pct"/>
            <w:tcBorders>
              <w:top w:val="single" w:sz="4" w:space="0" w:color="auto"/>
              <w:bottom w:val="single" w:sz="4" w:space="0" w:color="auto"/>
              <w:right w:val="single" w:sz="4" w:space="0" w:color="auto"/>
            </w:tcBorders>
            <w:noWrap/>
            <w:vAlign w:val="bottom"/>
          </w:tcPr>
          <w:p w:rsidR="009F0B29" w:rsidRPr="003F114E" w:rsidRDefault="009F0B29" w:rsidP="00AF77C4">
            <w:pPr>
              <w:spacing w:line="256" w:lineRule="auto"/>
              <w:jc w:val="center"/>
              <w:rPr>
                <w:b/>
                <w:lang w:eastAsia="en-US"/>
              </w:rPr>
            </w:pPr>
            <w:r w:rsidRPr="003F114E">
              <w:rPr>
                <w:b/>
                <w:sz w:val="22"/>
                <w:szCs w:val="22"/>
                <w:lang w:eastAsia="en-US"/>
              </w:rPr>
              <w:t>18</w:t>
            </w:r>
          </w:p>
        </w:tc>
      </w:tr>
    </w:tbl>
    <w:p w:rsidR="0011355E" w:rsidRDefault="0011355E" w:rsidP="005A5B94">
      <w:pPr>
        <w:pStyle w:val="Testonormale"/>
        <w:rPr>
          <w:rFonts w:ascii="Times New Roman" w:hAnsi="Times New Roman" w:cs="Times New Roman"/>
          <w:sz w:val="18"/>
          <w:szCs w:val="18"/>
        </w:rPr>
      </w:pPr>
      <w:r>
        <w:rPr>
          <w:rFonts w:ascii="Times New Roman" w:hAnsi="Times New Roman" w:cs="Times New Roman"/>
          <w:sz w:val="18"/>
          <w:szCs w:val="18"/>
        </w:rPr>
        <w:t>Fonte dati: Organico di Fatto definitivo, Elaborazioni Ufficio Scolastico Regionale E-R.</w:t>
      </w:r>
    </w:p>
    <w:p w:rsidR="0011355E" w:rsidRDefault="0011355E" w:rsidP="005A5B94">
      <w:pPr>
        <w:pStyle w:val="Titolo1"/>
      </w:pPr>
    </w:p>
    <w:sectPr w:rsidR="0011355E" w:rsidSect="00AA7F3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E3" w:rsidRDefault="004545E3" w:rsidP="00290252">
      <w:r>
        <w:separator/>
      </w:r>
    </w:p>
  </w:endnote>
  <w:endnote w:type="continuationSeparator" w:id="0">
    <w:p w:rsidR="004545E3" w:rsidRDefault="004545E3" w:rsidP="002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Default="001135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Pr="00BD498F" w:rsidRDefault="0011355E">
    <w:pPr>
      <w:pStyle w:val="Pidipagina"/>
      <w:rPr>
        <w:sz w:val="20"/>
        <w:szCs w:val="20"/>
      </w:rPr>
    </w:pPr>
    <w:r w:rsidRPr="00127E8B">
      <w:rPr>
        <w:sz w:val="20"/>
        <w:szCs w:val="20"/>
      </w:rPr>
      <w:t>Rev. 11.9.2014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Default="001135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E3" w:rsidRDefault="004545E3" w:rsidP="00290252">
      <w:r>
        <w:separator/>
      </w:r>
    </w:p>
  </w:footnote>
  <w:footnote w:type="continuationSeparator" w:id="0">
    <w:p w:rsidR="004545E3" w:rsidRDefault="004545E3" w:rsidP="0029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Default="001135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Default="004545E3" w:rsidP="00C11566">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99pt" filled="t">
          <v:fill color2="black"/>
          <v:imagedata r:id="rId1" o:title="" cropbottom="12580f" cropright="2431f"/>
        </v:shape>
      </w:pict>
    </w:r>
  </w:p>
  <w:p w:rsidR="0011355E" w:rsidRDefault="004545E3">
    <w:pPr>
      <w:pStyle w:val="Intestazione"/>
    </w:pPr>
    <w:r>
      <w:rPr>
        <w:noProof/>
      </w:rPr>
      <w:pict>
        <v:rect id="Rettangolo 3" o:spid="_x0000_s2049" style="position:absolute;margin-left:544.3pt;margin-top:142.25pt;width:51pt;height:34.1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fit-shape-to-text:t" inset="0,,0">
            <w:txbxContent>
              <w:p w:rsidR="0011355E" w:rsidRPr="0043230F" w:rsidRDefault="0011355E" w:rsidP="0043230F">
                <w:pPr>
                  <w:pBdr>
                    <w:top w:val="single" w:sz="4" w:space="1" w:color="D8D8D8"/>
                  </w:pBdr>
                  <w:rPr>
                    <w:color w:val="595959"/>
                    <w:sz w:val="20"/>
                    <w:szCs w:val="20"/>
                  </w:rPr>
                </w:pPr>
                <w:r w:rsidRPr="0043230F">
                  <w:rPr>
                    <w:color w:val="595959"/>
                    <w:sz w:val="20"/>
                    <w:szCs w:val="20"/>
                  </w:rPr>
                  <w:t>1|</w:t>
                </w:r>
                <w:r w:rsidRPr="0043230F">
                  <w:rPr>
                    <w:color w:val="595959"/>
                    <w:sz w:val="20"/>
                    <w:szCs w:val="20"/>
                  </w:rPr>
                  <w:fldChar w:fldCharType="begin"/>
                </w:r>
                <w:r w:rsidRPr="0043230F">
                  <w:rPr>
                    <w:color w:val="595959"/>
                    <w:sz w:val="20"/>
                    <w:szCs w:val="20"/>
                  </w:rPr>
                  <w:instrText>PAGE   \* MERGEFORMAT</w:instrText>
                </w:r>
                <w:r w:rsidRPr="0043230F">
                  <w:rPr>
                    <w:color w:val="595959"/>
                    <w:sz w:val="20"/>
                    <w:szCs w:val="20"/>
                  </w:rPr>
                  <w:fldChar w:fldCharType="separate"/>
                </w:r>
                <w:r w:rsidR="0096605A">
                  <w:rPr>
                    <w:noProof/>
                    <w:color w:val="595959"/>
                    <w:sz w:val="20"/>
                    <w:szCs w:val="20"/>
                  </w:rPr>
                  <w:t>1</w:t>
                </w:r>
                <w:r w:rsidRPr="0043230F">
                  <w:rPr>
                    <w:color w:val="595959"/>
                    <w:sz w:val="20"/>
                    <w:szCs w:val="20"/>
                  </w:rPr>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5E" w:rsidRDefault="001135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42E"/>
    <w:rsid w:val="00047304"/>
    <w:rsid w:val="000A71E7"/>
    <w:rsid w:val="000B6C9F"/>
    <w:rsid w:val="000E2468"/>
    <w:rsid w:val="0011355E"/>
    <w:rsid w:val="00127E8B"/>
    <w:rsid w:val="00290252"/>
    <w:rsid w:val="002B2DE4"/>
    <w:rsid w:val="002E6F54"/>
    <w:rsid w:val="003100B1"/>
    <w:rsid w:val="00311FA5"/>
    <w:rsid w:val="00356A9B"/>
    <w:rsid w:val="00363CAD"/>
    <w:rsid w:val="0038707B"/>
    <w:rsid w:val="0043230F"/>
    <w:rsid w:val="004545E3"/>
    <w:rsid w:val="005128A9"/>
    <w:rsid w:val="0054342E"/>
    <w:rsid w:val="0059584D"/>
    <w:rsid w:val="005A5B94"/>
    <w:rsid w:val="005D14A4"/>
    <w:rsid w:val="006B6589"/>
    <w:rsid w:val="007279A5"/>
    <w:rsid w:val="007A5E74"/>
    <w:rsid w:val="00877065"/>
    <w:rsid w:val="008C3AA4"/>
    <w:rsid w:val="008C5890"/>
    <w:rsid w:val="0092659E"/>
    <w:rsid w:val="00935414"/>
    <w:rsid w:val="009354B3"/>
    <w:rsid w:val="0096605A"/>
    <w:rsid w:val="009C2E16"/>
    <w:rsid w:val="009F0B29"/>
    <w:rsid w:val="00A86689"/>
    <w:rsid w:val="00AA0AE0"/>
    <w:rsid w:val="00AA7F36"/>
    <w:rsid w:val="00AF0F0B"/>
    <w:rsid w:val="00B8541A"/>
    <w:rsid w:val="00BA5264"/>
    <w:rsid w:val="00BD0BD7"/>
    <w:rsid w:val="00BD498F"/>
    <w:rsid w:val="00C11566"/>
    <w:rsid w:val="00C139F3"/>
    <w:rsid w:val="00DD62B8"/>
    <w:rsid w:val="00EA673D"/>
    <w:rsid w:val="00F40AC7"/>
    <w:rsid w:val="00FC5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42E"/>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4342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4342E"/>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54342E"/>
    <w:rPr>
      <w:rFonts w:ascii="Courier New" w:hAnsi="Courier New" w:cs="Courier New"/>
      <w:sz w:val="20"/>
      <w:szCs w:val="20"/>
    </w:rPr>
  </w:style>
  <w:style w:type="character" w:customStyle="1" w:styleId="TestonormaleCarattere">
    <w:name w:val="Testo normale Carattere"/>
    <w:link w:val="Testonormale"/>
    <w:uiPriority w:val="99"/>
    <w:locked/>
    <w:rsid w:val="0054342E"/>
    <w:rPr>
      <w:rFonts w:ascii="Courier New" w:hAnsi="Courier New" w:cs="Courier New"/>
      <w:sz w:val="20"/>
      <w:szCs w:val="20"/>
      <w:lang w:eastAsia="it-IT"/>
    </w:rPr>
  </w:style>
  <w:style w:type="paragraph" w:styleId="Testofumetto">
    <w:name w:val="Balloon Text"/>
    <w:basedOn w:val="Normale"/>
    <w:link w:val="TestofumettoCarattere"/>
    <w:uiPriority w:val="99"/>
    <w:semiHidden/>
    <w:rsid w:val="00290252"/>
    <w:rPr>
      <w:rFonts w:ascii="Tahoma" w:hAnsi="Tahoma" w:cs="Tahoma"/>
      <w:sz w:val="16"/>
      <w:szCs w:val="16"/>
    </w:rPr>
  </w:style>
  <w:style w:type="character" w:customStyle="1" w:styleId="TestofumettoCarattere">
    <w:name w:val="Testo fumetto Carattere"/>
    <w:link w:val="Testofumetto"/>
    <w:uiPriority w:val="99"/>
    <w:semiHidden/>
    <w:locked/>
    <w:rsid w:val="00290252"/>
    <w:rPr>
      <w:rFonts w:ascii="Tahoma" w:hAnsi="Tahoma" w:cs="Tahoma"/>
      <w:sz w:val="16"/>
      <w:szCs w:val="16"/>
      <w:lang w:eastAsia="it-IT"/>
    </w:rPr>
  </w:style>
  <w:style w:type="paragraph" w:styleId="Intestazione">
    <w:name w:val="header"/>
    <w:basedOn w:val="Normale"/>
    <w:link w:val="IntestazioneCarattere"/>
    <w:uiPriority w:val="99"/>
    <w:rsid w:val="00290252"/>
    <w:pPr>
      <w:tabs>
        <w:tab w:val="center" w:pos="4819"/>
        <w:tab w:val="right" w:pos="9638"/>
      </w:tabs>
    </w:pPr>
  </w:style>
  <w:style w:type="character" w:customStyle="1" w:styleId="IntestazioneCarattere">
    <w:name w:val="Intestazione Carattere"/>
    <w:link w:val="Intestazione"/>
    <w:uiPriority w:val="99"/>
    <w:locked/>
    <w:rsid w:val="00290252"/>
    <w:rPr>
      <w:rFonts w:ascii="Times New Roman" w:hAnsi="Times New Roman" w:cs="Times New Roman"/>
      <w:sz w:val="24"/>
      <w:szCs w:val="24"/>
      <w:lang w:eastAsia="it-IT"/>
    </w:rPr>
  </w:style>
  <w:style w:type="paragraph" w:styleId="Pidipagina">
    <w:name w:val="footer"/>
    <w:basedOn w:val="Normale"/>
    <w:link w:val="PidipaginaCarattere"/>
    <w:uiPriority w:val="99"/>
    <w:rsid w:val="00290252"/>
    <w:pPr>
      <w:tabs>
        <w:tab w:val="center" w:pos="4819"/>
        <w:tab w:val="right" w:pos="9638"/>
      </w:tabs>
    </w:pPr>
  </w:style>
  <w:style w:type="character" w:customStyle="1" w:styleId="PidipaginaCarattere">
    <w:name w:val="Piè di pagina Carattere"/>
    <w:link w:val="Pidipagina"/>
    <w:uiPriority w:val="99"/>
    <w:locked/>
    <w:rsid w:val="00290252"/>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1461">
      <w:marLeft w:val="0"/>
      <w:marRight w:val="0"/>
      <w:marTop w:val="0"/>
      <w:marBottom w:val="0"/>
      <w:divBdr>
        <w:top w:val="none" w:sz="0" w:space="0" w:color="auto"/>
        <w:left w:val="none" w:sz="0" w:space="0" w:color="auto"/>
        <w:bottom w:val="none" w:sz="0" w:space="0" w:color="auto"/>
        <w:right w:val="none" w:sz="0" w:space="0" w:color="auto"/>
      </w:divBdr>
    </w:div>
    <w:div w:id="1403061462">
      <w:marLeft w:val="0"/>
      <w:marRight w:val="0"/>
      <w:marTop w:val="0"/>
      <w:marBottom w:val="0"/>
      <w:divBdr>
        <w:top w:val="none" w:sz="0" w:space="0" w:color="auto"/>
        <w:left w:val="none" w:sz="0" w:space="0" w:color="auto"/>
        <w:bottom w:val="none" w:sz="0" w:space="0" w:color="auto"/>
        <w:right w:val="none" w:sz="0" w:space="0" w:color="auto"/>
      </w:divBdr>
    </w:div>
    <w:div w:id="1403061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Words>
  <Characters>1342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Administrator</cp:lastModifiedBy>
  <cp:revision>9</cp:revision>
  <cp:lastPrinted>2014-09-11T08:01:00Z</cp:lastPrinted>
  <dcterms:created xsi:type="dcterms:W3CDTF">2014-09-08T07:43:00Z</dcterms:created>
  <dcterms:modified xsi:type="dcterms:W3CDTF">2014-09-11T08:01:00Z</dcterms:modified>
</cp:coreProperties>
</file>