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11E" w:rsidRDefault="00EF411E" w:rsidP="00EF411E">
      <w:pPr>
        <w:pStyle w:val="NormaleWeb"/>
        <w:shd w:val="clear" w:color="auto" w:fill="F6F6F6"/>
        <w:rPr>
          <w:rFonts w:ascii="Trebuchet MS" w:hAnsi="Trebuchet MS"/>
          <w:color w:val="535353"/>
          <w:sz w:val="22"/>
          <w:szCs w:val="22"/>
        </w:rPr>
      </w:pPr>
      <w:r>
        <w:rPr>
          <w:rFonts w:ascii="Trebuchet MS" w:hAnsi="Trebuchet MS"/>
          <w:color w:val="535353"/>
          <w:sz w:val="22"/>
          <w:szCs w:val="22"/>
        </w:rPr>
        <w:t>ALLEGATO N.2</w:t>
      </w:r>
    </w:p>
    <w:p w:rsidR="00EF411E" w:rsidRDefault="00EF411E" w:rsidP="00EF411E">
      <w:pPr>
        <w:pStyle w:val="NormaleWeb"/>
        <w:shd w:val="clear" w:color="auto" w:fill="F6F6F6"/>
        <w:rPr>
          <w:rFonts w:ascii="Trebuchet MS" w:hAnsi="Trebuchet MS"/>
          <w:color w:val="535353"/>
          <w:sz w:val="22"/>
          <w:szCs w:val="22"/>
        </w:rPr>
      </w:pPr>
    </w:p>
    <w:p w:rsidR="00EF411E" w:rsidRDefault="00EF411E" w:rsidP="00EF411E">
      <w:pPr>
        <w:pStyle w:val="NormaleWeb"/>
        <w:shd w:val="clear" w:color="auto" w:fill="F6F6F6"/>
        <w:rPr>
          <w:rFonts w:ascii="Trebuchet MS" w:hAnsi="Trebuchet MS"/>
          <w:color w:val="535353"/>
          <w:sz w:val="22"/>
          <w:szCs w:val="22"/>
        </w:rPr>
      </w:pPr>
    </w:p>
    <w:p w:rsidR="00EF411E" w:rsidRDefault="00EF411E" w:rsidP="00EF411E">
      <w:pPr>
        <w:pStyle w:val="NormaleWeb"/>
        <w:shd w:val="clear" w:color="auto" w:fill="F6F6F6"/>
        <w:rPr>
          <w:rFonts w:ascii="Trebuchet MS" w:hAnsi="Trebuchet MS"/>
          <w:color w:val="535353"/>
          <w:sz w:val="22"/>
          <w:szCs w:val="22"/>
        </w:rPr>
      </w:pPr>
      <w:r>
        <w:rPr>
          <w:rFonts w:ascii="Trebuchet MS" w:hAnsi="Trebuchet MS"/>
          <w:color w:val="535353"/>
          <w:sz w:val="22"/>
          <w:szCs w:val="22"/>
        </w:rPr>
        <w:t>Nei campi di concentramento nazisti tutti i deportati erano classificati in categorie per poter riconoscere  immediatamente la causa della prigionia. In tal modo tutte le differenze venivano evidenziate anche perché questo comportava un  diverso trattamento.</w:t>
      </w:r>
    </w:p>
    <w:p w:rsidR="00EF411E" w:rsidRDefault="00EF411E" w:rsidP="00EF411E">
      <w:pPr>
        <w:pStyle w:val="NormaleWeb"/>
        <w:shd w:val="clear" w:color="auto" w:fill="F6F6F6"/>
        <w:rPr>
          <w:rFonts w:ascii="Trebuchet MS" w:hAnsi="Trebuchet MS"/>
          <w:color w:val="535353"/>
          <w:sz w:val="22"/>
          <w:szCs w:val="22"/>
        </w:rPr>
      </w:pPr>
      <w:r>
        <w:rPr>
          <w:rFonts w:ascii="Trebuchet MS" w:hAnsi="Trebuchet MS"/>
          <w:color w:val="535353"/>
          <w:sz w:val="22"/>
          <w:szCs w:val="22"/>
        </w:rPr>
        <w:t>Venivano usati dei triangoli di  stoffa, di diverso colore, di norma applicati sulla giacca e sui pantaloni del deportato.</w:t>
      </w:r>
    </w:p>
    <w:p w:rsidR="00EF411E" w:rsidRDefault="00EF411E" w:rsidP="00EF411E">
      <w:pPr>
        <w:pStyle w:val="NormaleWeb"/>
        <w:shd w:val="clear" w:color="auto" w:fill="F6F6F6"/>
        <w:rPr>
          <w:rFonts w:ascii="Trebuchet MS" w:hAnsi="Trebuchet MS"/>
          <w:color w:val="535353"/>
          <w:sz w:val="22"/>
          <w:szCs w:val="22"/>
        </w:rPr>
      </w:pPr>
      <w:r>
        <w:rPr>
          <w:rFonts w:ascii="Trebuchet MS" w:hAnsi="Trebuchet MS"/>
          <w:noProof/>
          <w:color w:val="535353"/>
          <w:sz w:val="22"/>
          <w:szCs w:val="22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885950" cy="2695575"/>
            <wp:effectExtent l="19050" t="0" r="0" b="0"/>
            <wp:wrapSquare wrapText="bothSides"/>
            <wp:docPr id="2" name="Immagine 2" descr="triangoli colora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angoli colorat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535353"/>
          <w:sz w:val="22"/>
          <w:szCs w:val="22"/>
        </w:rPr>
        <w:t>Il colore indicava la ragione della deportazione: di qui le espressioni "triangolo rosso" per indicare i politici, "triangolo verde" per i delinquenti comuni, "triangolo viola" per i Testimoni di Geova e così via (con alcune variabili a seconda dei campi e dei periodi).</w:t>
      </w:r>
    </w:p>
    <w:p w:rsidR="00EF411E" w:rsidRDefault="00EF411E" w:rsidP="00EF411E">
      <w:pPr>
        <w:pStyle w:val="NormaleWeb"/>
        <w:shd w:val="clear" w:color="auto" w:fill="F6F6F6"/>
        <w:rPr>
          <w:rFonts w:ascii="Trebuchet MS" w:hAnsi="Trebuchet MS"/>
          <w:color w:val="535353"/>
          <w:sz w:val="22"/>
          <w:szCs w:val="22"/>
        </w:rPr>
      </w:pPr>
      <w:r>
        <w:rPr>
          <w:rFonts w:ascii="Trebuchet MS" w:hAnsi="Trebuchet MS"/>
          <w:color w:val="535353"/>
          <w:sz w:val="22"/>
          <w:szCs w:val="22"/>
        </w:rPr>
        <w:t>Gli ebrei erano contrassegnati dalla stella di Davide (in alcuni casi rossa e gialla per i politici).</w:t>
      </w:r>
    </w:p>
    <w:p w:rsidR="00EF411E" w:rsidRDefault="00EF411E" w:rsidP="00EF411E">
      <w:pPr>
        <w:pStyle w:val="NormaleWeb"/>
        <w:shd w:val="clear" w:color="auto" w:fill="F6F6F6"/>
        <w:rPr>
          <w:rFonts w:ascii="Trebuchet MS" w:hAnsi="Trebuchet MS"/>
          <w:color w:val="535353"/>
          <w:sz w:val="22"/>
          <w:szCs w:val="22"/>
        </w:rPr>
      </w:pPr>
      <w:r>
        <w:rPr>
          <w:rFonts w:ascii="Trebuchet MS" w:hAnsi="Trebuchet MS"/>
          <w:color w:val="535353"/>
          <w:sz w:val="22"/>
          <w:szCs w:val="22"/>
        </w:rPr>
        <w:t>All'interno del triangolo si trovava la sigla della nazionalità (</w:t>
      </w:r>
      <w:proofErr w:type="spellStart"/>
      <w:r>
        <w:rPr>
          <w:rFonts w:ascii="Trebuchet MS" w:hAnsi="Trebuchet MS"/>
          <w:color w:val="535353"/>
          <w:sz w:val="22"/>
          <w:szCs w:val="22"/>
        </w:rPr>
        <w:t>It</w:t>
      </w:r>
      <w:proofErr w:type="spellEnd"/>
      <w:r>
        <w:rPr>
          <w:rFonts w:ascii="Trebuchet MS" w:hAnsi="Trebuchet MS"/>
          <w:color w:val="535353"/>
          <w:sz w:val="22"/>
          <w:szCs w:val="22"/>
        </w:rPr>
        <w:t xml:space="preserve"> o I per gli italiani, F per i francesi ecc.). I deportati tedeschi e austriaci non avevano alcuna sigla.</w:t>
      </w:r>
    </w:p>
    <w:p w:rsidR="00CC69FE" w:rsidRDefault="00CC69FE"/>
    <w:sectPr w:rsidR="00CC69FE" w:rsidSect="00EF411E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EF411E"/>
    <w:rsid w:val="00721ACC"/>
    <w:rsid w:val="00AA3A43"/>
    <w:rsid w:val="00CC69FE"/>
    <w:rsid w:val="00EF4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69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F411E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6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65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5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3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8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ANED</dc:creator>
  <cp:keywords/>
  <dc:description/>
  <cp:lastModifiedBy>ANED</cp:lastModifiedBy>
  <cp:revision>2</cp:revision>
  <dcterms:created xsi:type="dcterms:W3CDTF">2015-09-11T08:22:00Z</dcterms:created>
  <dcterms:modified xsi:type="dcterms:W3CDTF">2015-09-11T08:30:00Z</dcterms:modified>
</cp:coreProperties>
</file>